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2943"/>
        <w:gridCol w:w="6237"/>
      </w:tblGrid>
      <w:tr w:rsidR="00B21876" w:rsidRPr="005D3146" w:rsidTr="00403C2C">
        <w:trPr>
          <w:tblCellSpacing w:w="0" w:type="dxa"/>
        </w:trPr>
        <w:tc>
          <w:tcPr>
            <w:tcW w:w="2943" w:type="dxa"/>
            <w:shd w:val="clear" w:color="auto" w:fill="FFFFFF"/>
            <w:tcMar>
              <w:top w:w="0" w:type="dxa"/>
              <w:left w:w="108" w:type="dxa"/>
              <w:bottom w:w="0" w:type="dxa"/>
              <w:right w:w="108" w:type="dxa"/>
            </w:tcMar>
            <w:hideMark/>
          </w:tcPr>
          <w:p w:rsidR="00B21876" w:rsidRPr="005D3146" w:rsidRDefault="001B7C9A" w:rsidP="00403C2C">
            <w:pPr>
              <w:spacing w:before="120" w:after="0" w:line="234" w:lineRule="atLeast"/>
              <w:jc w:val="center"/>
              <w:rPr>
                <w:rFonts w:asciiTheme="majorHAnsi" w:eastAsia="Times New Roman" w:hAnsiTheme="majorHAnsi" w:cstheme="majorHAnsi"/>
                <w:sz w:val="28"/>
                <w:szCs w:val="28"/>
                <w:lang w:eastAsia="vi-VN"/>
              </w:rPr>
            </w:pPr>
            <w:r w:rsidRPr="001B7C9A">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7" type="#_x0000_t32" style="position:absolute;left:0;text-align:left;margin-left:54.45pt;margin-top:27.3pt;width:33.75pt;height:0;z-index:251656704" o:connectortype="straight"/>
              </w:pict>
            </w:r>
            <w:r w:rsidR="00B21876" w:rsidRPr="005D3146">
              <w:rPr>
                <w:rFonts w:asciiTheme="majorHAnsi" w:eastAsia="Times New Roman" w:hAnsiTheme="majorHAnsi" w:cstheme="majorHAnsi"/>
                <w:b/>
                <w:bCs/>
                <w:sz w:val="26"/>
                <w:szCs w:val="26"/>
                <w:lang w:val="en-US" w:eastAsia="vi-VN"/>
              </w:rPr>
              <w:t>BỘ TÀI CHÍNH</w:t>
            </w:r>
            <w:r w:rsidR="00B21876" w:rsidRPr="005D3146">
              <w:rPr>
                <w:rFonts w:asciiTheme="majorHAnsi" w:eastAsia="Times New Roman" w:hAnsiTheme="majorHAnsi" w:cstheme="majorHAnsi"/>
                <w:b/>
                <w:bCs/>
                <w:sz w:val="28"/>
                <w:szCs w:val="28"/>
                <w:lang w:eastAsia="vi-VN"/>
              </w:rPr>
              <w:br/>
            </w:r>
          </w:p>
        </w:tc>
        <w:tc>
          <w:tcPr>
            <w:tcW w:w="6237" w:type="dxa"/>
            <w:shd w:val="clear" w:color="auto" w:fill="FFFFFF"/>
            <w:tcMar>
              <w:top w:w="0" w:type="dxa"/>
              <w:left w:w="108" w:type="dxa"/>
              <w:bottom w:w="0" w:type="dxa"/>
              <w:right w:w="108" w:type="dxa"/>
            </w:tcMar>
            <w:hideMark/>
          </w:tcPr>
          <w:p w:rsidR="00B21876" w:rsidRPr="005D3146" w:rsidRDefault="001B7C9A" w:rsidP="00403C2C">
            <w:pPr>
              <w:spacing w:before="120" w:after="0" w:line="234" w:lineRule="atLeast"/>
              <w:jc w:val="center"/>
              <w:rPr>
                <w:rFonts w:asciiTheme="majorHAnsi" w:eastAsia="Times New Roman" w:hAnsiTheme="majorHAnsi" w:cstheme="majorHAnsi"/>
                <w:sz w:val="28"/>
                <w:szCs w:val="28"/>
                <w:lang w:eastAsia="vi-VN"/>
              </w:rPr>
            </w:pPr>
            <w:r w:rsidRPr="001B7C9A">
              <w:rPr>
                <w:rFonts w:asciiTheme="majorHAnsi" w:eastAsia="Times New Roman" w:hAnsiTheme="majorHAnsi" w:cstheme="majorHAnsi"/>
                <w:b/>
                <w:bCs/>
                <w:noProof/>
                <w:sz w:val="26"/>
                <w:szCs w:val="26"/>
                <w:lang w:eastAsia="vi-VN"/>
              </w:rPr>
              <w:pict>
                <v:shape id="_x0000_s1028" type="#_x0000_t32" style="position:absolute;left:0;text-align:left;margin-left:57.3pt;margin-top:43.8pt;width:177.75pt;height:0;z-index:251657728;mso-position-horizontal-relative:text;mso-position-vertical-relative:text" o:connectortype="straight"/>
              </w:pict>
            </w:r>
            <w:r w:rsidR="00B21876" w:rsidRPr="005D3146">
              <w:rPr>
                <w:rFonts w:asciiTheme="majorHAnsi" w:eastAsia="Times New Roman" w:hAnsiTheme="majorHAnsi" w:cstheme="majorHAnsi"/>
                <w:b/>
                <w:bCs/>
                <w:sz w:val="26"/>
                <w:szCs w:val="26"/>
                <w:lang w:eastAsia="vi-VN"/>
              </w:rPr>
              <w:t>CỘNG HÒA XÃ HỘI CHỦ NGHĨA VIỆT NAM</w:t>
            </w:r>
            <w:r w:rsidR="00B21876" w:rsidRPr="005D3146">
              <w:rPr>
                <w:rFonts w:asciiTheme="majorHAnsi" w:eastAsia="Times New Roman" w:hAnsiTheme="majorHAnsi" w:cstheme="majorHAnsi"/>
                <w:b/>
                <w:bCs/>
                <w:sz w:val="26"/>
                <w:szCs w:val="26"/>
                <w:lang w:eastAsia="vi-VN"/>
              </w:rPr>
              <w:br/>
            </w:r>
            <w:r w:rsidR="00B21876" w:rsidRPr="005D3146">
              <w:rPr>
                <w:rFonts w:asciiTheme="majorHAnsi" w:eastAsia="Times New Roman" w:hAnsiTheme="majorHAnsi" w:cstheme="majorHAnsi"/>
                <w:b/>
                <w:bCs/>
                <w:sz w:val="28"/>
                <w:szCs w:val="28"/>
                <w:lang w:eastAsia="vi-VN"/>
              </w:rPr>
              <w:t>Độc lập - Tự do - Hạnh phúc </w:t>
            </w:r>
            <w:r w:rsidR="00B21876" w:rsidRPr="005D3146">
              <w:rPr>
                <w:rFonts w:asciiTheme="majorHAnsi" w:eastAsia="Times New Roman" w:hAnsiTheme="majorHAnsi" w:cstheme="majorHAnsi"/>
                <w:b/>
                <w:bCs/>
                <w:sz w:val="28"/>
                <w:szCs w:val="28"/>
                <w:lang w:eastAsia="vi-VN"/>
              </w:rPr>
              <w:br/>
            </w:r>
          </w:p>
        </w:tc>
      </w:tr>
      <w:tr w:rsidR="00B21876" w:rsidRPr="005D3146" w:rsidTr="00403C2C">
        <w:trPr>
          <w:tblCellSpacing w:w="0" w:type="dxa"/>
        </w:trPr>
        <w:tc>
          <w:tcPr>
            <w:tcW w:w="2943" w:type="dxa"/>
            <w:shd w:val="clear" w:color="auto" w:fill="FFFFFF"/>
            <w:tcMar>
              <w:top w:w="0" w:type="dxa"/>
              <w:left w:w="108" w:type="dxa"/>
              <w:bottom w:w="0" w:type="dxa"/>
              <w:right w:w="108" w:type="dxa"/>
            </w:tcMar>
            <w:hideMark/>
          </w:tcPr>
          <w:p w:rsidR="00B21876" w:rsidRPr="005D3146" w:rsidRDefault="00B21876" w:rsidP="005849BE">
            <w:pPr>
              <w:spacing w:before="120" w:after="0" w:line="234" w:lineRule="atLeast"/>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Số: </w:t>
            </w:r>
            <w:r w:rsidRPr="005D3146">
              <w:rPr>
                <w:rFonts w:asciiTheme="majorHAnsi" w:eastAsia="Times New Roman" w:hAnsiTheme="majorHAnsi" w:cstheme="majorHAnsi"/>
                <w:sz w:val="28"/>
                <w:szCs w:val="28"/>
                <w:lang w:val="en-US" w:eastAsia="vi-VN"/>
              </w:rPr>
              <w:t xml:space="preserve"> </w:t>
            </w:r>
            <w:r w:rsidR="005849BE">
              <w:rPr>
                <w:rFonts w:asciiTheme="majorHAnsi" w:eastAsia="Times New Roman" w:hAnsiTheme="majorHAnsi" w:cstheme="majorHAnsi"/>
                <w:sz w:val="28"/>
                <w:szCs w:val="28"/>
                <w:lang w:val="en-US" w:eastAsia="vi-VN"/>
              </w:rPr>
              <w:t>97</w:t>
            </w:r>
            <w:r w:rsidRPr="005D3146">
              <w:rPr>
                <w:rFonts w:asciiTheme="majorHAnsi" w:eastAsia="Times New Roman" w:hAnsiTheme="majorHAnsi" w:cstheme="majorHAnsi"/>
                <w:sz w:val="28"/>
                <w:szCs w:val="28"/>
                <w:lang w:val="en-US" w:eastAsia="vi-VN"/>
              </w:rPr>
              <w:t>/2017</w:t>
            </w:r>
            <w:r w:rsidRPr="005D3146">
              <w:rPr>
                <w:rFonts w:asciiTheme="majorHAnsi" w:eastAsia="Times New Roman" w:hAnsiTheme="majorHAnsi" w:cstheme="majorHAnsi"/>
                <w:sz w:val="28"/>
                <w:szCs w:val="28"/>
                <w:lang w:eastAsia="vi-VN"/>
              </w:rPr>
              <w:t>/TT-BTC</w:t>
            </w:r>
          </w:p>
        </w:tc>
        <w:tc>
          <w:tcPr>
            <w:tcW w:w="6237" w:type="dxa"/>
            <w:shd w:val="clear" w:color="auto" w:fill="FFFFFF"/>
            <w:tcMar>
              <w:top w:w="0" w:type="dxa"/>
              <w:left w:w="108" w:type="dxa"/>
              <w:bottom w:w="0" w:type="dxa"/>
              <w:right w:w="108" w:type="dxa"/>
            </w:tcMar>
            <w:hideMark/>
          </w:tcPr>
          <w:p w:rsidR="00B21876" w:rsidRPr="005D3146" w:rsidRDefault="00B21876" w:rsidP="005849BE">
            <w:pPr>
              <w:spacing w:before="120" w:after="0" w:line="234" w:lineRule="atLeast"/>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i/>
                <w:iCs/>
                <w:sz w:val="28"/>
                <w:szCs w:val="28"/>
                <w:lang w:eastAsia="vi-VN"/>
              </w:rPr>
              <w:t xml:space="preserve">           Hà Nội, ngày  </w:t>
            </w:r>
            <w:r w:rsidR="005849BE" w:rsidRPr="005849BE">
              <w:rPr>
                <w:rFonts w:asciiTheme="majorHAnsi" w:eastAsia="Times New Roman" w:hAnsiTheme="majorHAnsi" w:cstheme="majorHAnsi"/>
                <w:i/>
                <w:iCs/>
                <w:sz w:val="28"/>
                <w:szCs w:val="28"/>
                <w:lang w:eastAsia="vi-VN"/>
              </w:rPr>
              <w:t>27</w:t>
            </w:r>
            <w:r w:rsidR="00594EF7" w:rsidRPr="00594EF7">
              <w:rPr>
                <w:rFonts w:asciiTheme="majorHAnsi" w:eastAsia="Times New Roman" w:hAnsiTheme="majorHAnsi" w:cstheme="majorHAnsi"/>
                <w:i/>
                <w:iCs/>
                <w:sz w:val="28"/>
                <w:szCs w:val="28"/>
                <w:lang w:eastAsia="vi-VN"/>
              </w:rPr>
              <w:t xml:space="preserve"> </w:t>
            </w:r>
            <w:r w:rsidRPr="005D3146">
              <w:rPr>
                <w:rFonts w:asciiTheme="majorHAnsi" w:eastAsia="Times New Roman" w:hAnsiTheme="majorHAnsi" w:cstheme="majorHAnsi"/>
                <w:i/>
                <w:iCs/>
                <w:sz w:val="28"/>
                <w:szCs w:val="28"/>
                <w:lang w:eastAsia="vi-VN"/>
              </w:rPr>
              <w:t> tháng </w:t>
            </w:r>
            <w:r w:rsidR="005849BE" w:rsidRPr="005849BE">
              <w:rPr>
                <w:rFonts w:asciiTheme="majorHAnsi" w:eastAsia="Times New Roman" w:hAnsiTheme="majorHAnsi" w:cstheme="majorHAnsi"/>
                <w:i/>
                <w:iCs/>
                <w:sz w:val="28"/>
                <w:szCs w:val="28"/>
                <w:lang w:eastAsia="vi-VN"/>
              </w:rPr>
              <w:t>9</w:t>
            </w:r>
            <w:r w:rsidRPr="005D3146">
              <w:rPr>
                <w:rFonts w:asciiTheme="majorHAnsi" w:eastAsia="Times New Roman" w:hAnsiTheme="majorHAnsi" w:cstheme="majorHAnsi"/>
                <w:i/>
                <w:iCs/>
                <w:sz w:val="28"/>
                <w:szCs w:val="28"/>
                <w:lang w:eastAsia="vi-VN"/>
              </w:rPr>
              <w:t> năm 2017</w:t>
            </w:r>
          </w:p>
        </w:tc>
      </w:tr>
    </w:tbl>
    <w:p w:rsidR="0046080D" w:rsidRPr="00C20493" w:rsidRDefault="0046080D" w:rsidP="00B21876">
      <w:pPr>
        <w:shd w:val="clear" w:color="auto" w:fill="FFFFFF"/>
        <w:spacing w:before="120" w:after="0" w:line="234" w:lineRule="atLeast"/>
        <w:jc w:val="both"/>
        <w:rPr>
          <w:rFonts w:asciiTheme="majorHAnsi" w:eastAsia="Times New Roman" w:hAnsiTheme="majorHAnsi" w:cstheme="majorHAnsi"/>
          <w:sz w:val="24"/>
          <w:szCs w:val="28"/>
          <w:lang w:eastAsia="vi-VN"/>
        </w:rPr>
      </w:pPr>
    </w:p>
    <w:p w:rsidR="00B21876" w:rsidRPr="005D3146" w:rsidRDefault="00B21876" w:rsidP="00B21876">
      <w:pPr>
        <w:shd w:val="clear" w:color="auto" w:fill="FFFFFF"/>
        <w:spacing w:before="120" w:after="0" w:line="234" w:lineRule="atLeast"/>
        <w:jc w:val="center"/>
        <w:rPr>
          <w:rFonts w:asciiTheme="majorHAnsi" w:eastAsia="Times New Roman" w:hAnsiTheme="majorHAnsi" w:cstheme="majorHAnsi"/>
          <w:sz w:val="28"/>
          <w:szCs w:val="28"/>
          <w:lang w:eastAsia="vi-VN"/>
        </w:rPr>
      </w:pPr>
      <w:r w:rsidRPr="005D3146">
        <w:rPr>
          <w:rFonts w:asciiTheme="majorHAnsi" w:eastAsia="Times New Roman" w:hAnsiTheme="majorHAnsi" w:cstheme="majorHAnsi"/>
          <w:b/>
          <w:bCs/>
          <w:sz w:val="28"/>
          <w:szCs w:val="28"/>
          <w:lang w:eastAsia="vi-VN"/>
        </w:rPr>
        <w:t>THÔNG TƯ</w:t>
      </w:r>
    </w:p>
    <w:p w:rsidR="00B21876" w:rsidRPr="005D3146" w:rsidRDefault="00B21876" w:rsidP="00B21876">
      <w:pPr>
        <w:shd w:val="clear" w:color="auto" w:fill="FFFFFF"/>
        <w:spacing w:after="0" w:line="234" w:lineRule="atLeast"/>
        <w:jc w:val="center"/>
        <w:rPr>
          <w:rFonts w:asciiTheme="majorHAnsi" w:eastAsia="Times New Roman" w:hAnsiTheme="majorHAnsi" w:cstheme="majorHAnsi"/>
          <w:b/>
          <w:sz w:val="28"/>
          <w:szCs w:val="28"/>
          <w:lang w:eastAsia="vi-VN"/>
        </w:rPr>
      </w:pPr>
      <w:r w:rsidRPr="005D3146">
        <w:rPr>
          <w:rFonts w:asciiTheme="majorHAnsi" w:eastAsia="Times New Roman" w:hAnsiTheme="majorHAnsi" w:cstheme="majorHAnsi"/>
          <w:b/>
          <w:sz w:val="28"/>
          <w:szCs w:val="28"/>
          <w:lang w:eastAsia="vi-VN"/>
        </w:rPr>
        <w:t xml:space="preserve">Hướng dẫn việc trích lập, quản lý tiền lương, thù lao, tiền thưởng đối với Trưởng ban kiểm soát, Kiểm soát viên </w:t>
      </w:r>
      <w:r w:rsidR="00664EB9" w:rsidRPr="00664EB9">
        <w:rPr>
          <w:rFonts w:asciiTheme="majorHAnsi" w:eastAsia="Times New Roman" w:hAnsiTheme="majorHAnsi" w:cstheme="majorHAnsi"/>
          <w:b/>
          <w:sz w:val="28"/>
          <w:szCs w:val="28"/>
          <w:lang w:eastAsia="vi-VN"/>
        </w:rPr>
        <w:t>tại công ty trách nhiệm hữu hạn một thành viên do Nhà nước nắm giữ 100% vốn điều lệ</w:t>
      </w:r>
      <w:r w:rsidR="00664EB9" w:rsidRPr="005D3146">
        <w:rPr>
          <w:rFonts w:asciiTheme="majorHAnsi" w:eastAsia="Times New Roman" w:hAnsiTheme="majorHAnsi" w:cstheme="majorHAnsi"/>
          <w:b/>
          <w:sz w:val="28"/>
          <w:szCs w:val="28"/>
          <w:lang w:eastAsia="vi-VN"/>
        </w:rPr>
        <w:t xml:space="preserve"> </w:t>
      </w:r>
      <w:r w:rsidRPr="005D3146">
        <w:rPr>
          <w:rFonts w:asciiTheme="majorHAnsi" w:eastAsia="Times New Roman" w:hAnsiTheme="majorHAnsi" w:cstheme="majorHAnsi"/>
          <w:b/>
          <w:sz w:val="28"/>
          <w:szCs w:val="28"/>
          <w:lang w:eastAsia="vi-VN"/>
        </w:rPr>
        <w:t>theo quy định tại Nghị định số 52/2016/NĐ-CP ngày 13/6/2016 của Chính phủ</w:t>
      </w:r>
    </w:p>
    <w:p w:rsidR="008B5F39" w:rsidRPr="005849BE" w:rsidRDefault="008B5F39" w:rsidP="00566A43">
      <w:pPr>
        <w:pStyle w:val="BodyTextIndent"/>
        <w:spacing w:before="120" w:line="278" w:lineRule="auto"/>
        <w:ind w:left="0" w:firstLine="720"/>
        <w:jc w:val="both"/>
        <w:rPr>
          <w:rFonts w:asciiTheme="majorHAnsi" w:eastAsia="Times New Roman" w:hAnsiTheme="majorHAnsi" w:cstheme="majorHAnsi"/>
          <w:i/>
          <w:iCs/>
          <w:sz w:val="8"/>
          <w:szCs w:val="28"/>
          <w:lang w:eastAsia="vi-VN"/>
        </w:rPr>
      </w:pPr>
    </w:p>
    <w:p w:rsidR="00664EB9" w:rsidRPr="005849BE" w:rsidRDefault="00664EB9" w:rsidP="00566A43">
      <w:pPr>
        <w:pStyle w:val="BodyTextIndent"/>
        <w:spacing w:before="120" w:line="278" w:lineRule="auto"/>
        <w:ind w:left="0" w:firstLine="720"/>
        <w:jc w:val="both"/>
        <w:rPr>
          <w:rFonts w:asciiTheme="majorHAnsi" w:eastAsia="Times New Roman" w:hAnsiTheme="majorHAnsi" w:cstheme="majorHAnsi"/>
          <w:i/>
          <w:iCs/>
          <w:sz w:val="8"/>
          <w:szCs w:val="28"/>
          <w:lang w:eastAsia="vi-VN"/>
        </w:rPr>
      </w:pPr>
    </w:p>
    <w:p w:rsidR="008B5F39" w:rsidRPr="00B81D08" w:rsidRDefault="008B5F39" w:rsidP="00664EB9">
      <w:pPr>
        <w:pStyle w:val="BodyTextIndent"/>
        <w:spacing w:before="120" w:line="271" w:lineRule="auto"/>
        <w:ind w:left="0" w:firstLine="720"/>
        <w:jc w:val="both"/>
        <w:rPr>
          <w:rFonts w:asciiTheme="majorHAnsi" w:eastAsia="Times New Roman" w:hAnsiTheme="majorHAnsi" w:cstheme="majorHAnsi"/>
          <w:i/>
          <w:iCs/>
          <w:sz w:val="28"/>
          <w:szCs w:val="28"/>
          <w:lang w:eastAsia="vi-VN"/>
        </w:rPr>
      </w:pPr>
      <w:r w:rsidRPr="008B5F39">
        <w:rPr>
          <w:rFonts w:asciiTheme="majorHAnsi" w:eastAsia="Times New Roman" w:hAnsiTheme="majorHAnsi" w:cstheme="majorHAnsi"/>
          <w:i/>
          <w:iCs/>
          <w:sz w:val="28"/>
          <w:szCs w:val="28"/>
          <w:lang w:eastAsia="vi-VN"/>
        </w:rPr>
        <w:t>Căn cứ Luật Doanh nghiệp ngày 26 tháng 11 năm 2014</w:t>
      </w:r>
      <w:r w:rsidRPr="00B81D08">
        <w:rPr>
          <w:rFonts w:asciiTheme="majorHAnsi" w:eastAsia="Times New Roman" w:hAnsiTheme="majorHAnsi" w:cstheme="majorHAnsi"/>
          <w:i/>
          <w:iCs/>
          <w:sz w:val="28"/>
          <w:szCs w:val="28"/>
          <w:lang w:eastAsia="vi-VN"/>
        </w:rPr>
        <w:t>;</w:t>
      </w:r>
    </w:p>
    <w:p w:rsidR="00B21876" w:rsidRPr="005D3146" w:rsidRDefault="00B21876" w:rsidP="00664EB9">
      <w:pPr>
        <w:pStyle w:val="BodyTextIndent"/>
        <w:spacing w:before="120" w:line="271" w:lineRule="auto"/>
        <w:ind w:left="0" w:firstLine="720"/>
        <w:jc w:val="both"/>
        <w:rPr>
          <w:rFonts w:asciiTheme="majorHAnsi" w:hAnsiTheme="majorHAnsi" w:cstheme="majorHAnsi"/>
          <w:i/>
          <w:iCs/>
          <w:sz w:val="28"/>
          <w:szCs w:val="28"/>
          <w:lang w:val="nl-NL"/>
        </w:rPr>
      </w:pPr>
      <w:r w:rsidRPr="005D3146">
        <w:rPr>
          <w:rFonts w:asciiTheme="majorHAnsi" w:eastAsia="Times New Roman" w:hAnsiTheme="majorHAnsi" w:cstheme="majorHAnsi"/>
          <w:i/>
          <w:iCs/>
          <w:sz w:val="28"/>
          <w:szCs w:val="28"/>
          <w:lang w:eastAsia="vi-VN"/>
        </w:rPr>
        <w:t xml:space="preserve">Căn cứ </w:t>
      </w:r>
      <w:r w:rsidRPr="005D3146">
        <w:rPr>
          <w:rFonts w:asciiTheme="majorHAnsi" w:hAnsiTheme="majorHAnsi" w:cstheme="majorHAnsi"/>
          <w:i/>
          <w:iCs/>
          <w:sz w:val="28"/>
          <w:szCs w:val="28"/>
          <w:lang w:val="nl-NL"/>
        </w:rPr>
        <w:t xml:space="preserve">Nghị định số </w:t>
      </w:r>
      <w:r w:rsidR="00B45C54">
        <w:rPr>
          <w:rFonts w:asciiTheme="majorHAnsi" w:hAnsiTheme="majorHAnsi" w:cstheme="majorHAnsi"/>
          <w:i/>
          <w:iCs/>
          <w:sz w:val="28"/>
          <w:szCs w:val="28"/>
          <w:lang w:val="nl-NL"/>
        </w:rPr>
        <w:t>87/2017</w:t>
      </w:r>
      <w:r w:rsidRPr="005D3146">
        <w:rPr>
          <w:rFonts w:asciiTheme="majorHAnsi" w:hAnsiTheme="majorHAnsi" w:cstheme="majorHAnsi"/>
          <w:i/>
          <w:iCs/>
          <w:sz w:val="28"/>
          <w:szCs w:val="28"/>
          <w:lang w:val="nl-NL"/>
        </w:rPr>
        <w:t xml:space="preserve">/NĐ-CP ngày </w:t>
      </w:r>
      <w:r w:rsidR="00B45C54">
        <w:rPr>
          <w:rFonts w:asciiTheme="majorHAnsi" w:hAnsiTheme="majorHAnsi" w:cstheme="majorHAnsi"/>
          <w:i/>
          <w:iCs/>
          <w:sz w:val="28"/>
          <w:szCs w:val="28"/>
          <w:lang w:val="nl-NL"/>
        </w:rPr>
        <w:t>26</w:t>
      </w:r>
      <w:r w:rsidRPr="005D3146">
        <w:rPr>
          <w:rFonts w:asciiTheme="majorHAnsi" w:hAnsiTheme="majorHAnsi" w:cstheme="majorHAnsi"/>
          <w:i/>
          <w:iCs/>
          <w:sz w:val="28"/>
          <w:szCs w:val="28"/>
          <w:lang w:val="nl-NL"/>
        </w:rPr>
        <w:t xml:space="preserve"> tháng </w:t>
      </w:r>
      <w:r w:rsidR="00B45C54">
        <w:rPr>
          <w:rFonts w:asciiTheme="majorHAnsi" w:hAnsiTheme="majorHAnsi" w:cstheme="majorHAnsi"/>
          <w:i/>
          <w:iCs/>
          <w:sz w:val="28"/>
          <w:szCs w:val="28"/>
          <w:lang w:val="nl-NL"/>
        </w:rPr>
        <w:t>7</w:t>
      </w:r>
      <w:r w:rsidRPr="005D3146">
        <w:rPr>
          <w:rFonts w:asciiTheme="majorHAnsi" w:hAnsiTheme="majorHAnsi" w:cstheme="majorHAnsi"/>
          <w:i/>
          <w:iCs/>
          <w:sz w:val="28"/>
          <w:szCs w:val="28"/>
          <w:lang w:val="nl-NL"/>
        </w:rPr>
        <w:t xml:space="preserve"> năm 201</w:t>
      </w:r>
      <w:r w:rsidR="00B45C54">
        <w:rPr>
          <w:rFonts w:asciiTheme="majorHAnsi" w:hAnsiTheme="majorHAnsi" w:cstheme="majorHAnsi"/>
          <w:i/>
          <w:iCs/>
          <w:sz w:val="28"/>
          <w:szCs w:val="28"/>
          <w:lang w:val="nl-NL"/>
        </w:rPr>
        <w:t>7</w:t>
      </w:r>
      <w:r w:rsidRPr="005D3146">
        <w:rPr>
          <w:rFonts w:asciiTheme="majorHAnsi" w:hAnsiTheme="majorHAnsi" w:cstheme="majorHAnsi"/>
          <w:i/>
          <w:iCs/>
          <w:sz w:val="28"/>
          <w:szCs w:val="28"/>
          <w:lang w:val="nl-NL"/>
        </w:rPr>
        <w:t xml:space="preserve"> của Chính phủ quy định chức năng, nhiệm vụ, quyền hạn và cơ cấu tổ chức của Bộ Tài chính; </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val="nl-NL" w:eastAsia="vi-VN"/>
        </w:rPr>
      </w:pPr>
      <w:r w:rsidRPr="005D3146">
        <w:rPr>
          <w:rFonts w:asciiTheme="majorHAnsi" w:eastAsia="Times New Roman" w:hAnsiTheme="majorHAnsi" w:cstheme="majorHAnsi"/>
          <w:i/>
          <w:iCs/>
          <w:sz w:val="28"/>
          <w:szCs w:val="28"/>
          <w:lang w:eastAsia="vi-VN"/>
        </w:rPr>
        <w:t>Căn cứ Nghị định số </w:t>
      </w:r>
      <w:r w:rsidRPr="005D3146">
        <w:rPr>
          <w:rFonts w:asciiTheme="majorHAnsi" w:eastAsia="Times New Roman" w:hAnsiTheme="majorHAnsi" w:cstheme="majorHAnsi"/>
          <w:i/>
          <w:iCs/>
          <w:sz w:val="28"/>
          <w:szCs w:val="28"/>
          <w:lang w:val="nl-NL" w:eastAsia="vi-VN"/>
        </w:rPr>
        <w:t>52/2016/NĐ-CP ngày 13 tháng 6 năm 2016 của Chính phủ quy định tiền lương, thù lao, tiền thưởng đối với người quản lý công ty trách nhiệm hữu hạn một thành viên do Nhà nước nắm giữ 100% vốn điều lệ;</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i/>
          <w:iCs/>
          <w:sz w:val="28"/>
          <w:szCs w:val="28"/>
          <w:lang w:eastAsia="vi-VN"/>
        </w:rPr>
        <w:t>Căn cứ Quyết định số </w:t>
      </w:r>
      <w:hyperlink r:id="rId7" w:tgtFrame="_blank" w:history="1">
        <w:r w:rsidRPr="005D3146">
          <w:rPr>
            <w:rFonts w:asciiTheme="majorHAnsi" w:eastAsia="Times New Roman" w:hAnsiTheme="majorHAnsi" w:cstheme="majorHAnsi"/>
            <w:i/>
            <w:iCs/>
            <w:sz w:val="28"/>
            <w:szCs w:val="28"/>
            <w:lang w:eastAsia="vi-VN"/>
          </w:rPr>
          <w:t>35/2013/QĐ-TTg</w:t>
        </w:r>
      </w:hyperlink>
      <w:r w:rsidRPr="005D3146">
        <w:rPr>
          <w:rFonts w:asciiTheme="majorHAnsi" w:eastAsia="Times New Roman" w:hAnsiTheme="majorHAnsi" w:cstheme="majorHAnsi"/>
          <w:i/>
          <w:iCs/>
          <w:sz w:val="28"/>
          <w:szCs w:val="28"/>
          <w:lang w:eastAsia="vi-VN"/>
        </w:rPr>
        <w:t> ngày 7/6/2013 của Thủ tướng Chính phủ ban hành Quy chế hoạt động của Kiểm soát viên công ty trách nhiệm hữu hạn một thành viên do Nhà nước nắm giữ 100% vốn điều lệ;</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i/>
          <w:iCs/>
          <w:sz w:val="28"/>
          <w:szCs w:val="28"/>
          <w:lang w:eastAsia="vi-VN"/>
        </w:rPr>
        <w:t>Theo đề nghị của Cục trưởng Cục Tài chính doanh nghiệp;</w:t>
      </w:r>
    </w:p>
    <w:p w:rsidR="00B21876" w:rsidRPr="00C20493" w:rsidRDefault="00B21876" w:rsidP="00664EB9">
      <w:pPr>
        <w:shd w:val="clear" w:color="auto" w:fill="FFFFFF"/>
        <w:spacing w:before="120" w:after="120" w:line="271" w:lineRule="auto"/>
        <w:ind w:firstLine="720"/>
        <w:jc w:val="both"/>
        <w:rPr>
          <w:rFonts w:asciiTheme="majorHAnsi" w:eastAsia="Times New Roman" w:hAnsiTheme="majorHAnsi" w:cstheme="majorHAnsi"/>
          <w:i/>
          <w:sz w:val="28"/>
          <w:szCs w:val="28"/>
          <w:lang w:eastAsia="vi-VN"/>
        </w:rPr>
      </w:pPr>
      <w:r w:rsidRPr="005D3146">
        <w:rPr>
          <w:rFonts w:asciiTheme="majorHAnsi" w:eastAsia="Times New Roman" w:hAnsiTheme="majorHAnsi" w:cstheme="majorHAnsi"/>
          <w:i/>
          <w:iCs/>
          <w:sz w:val="28"/>
          <w:szCs w:val="28"/>
          <w:lang w:eastAsia="vi-VN"/>
        </w:rPr>
        <w:t>Bộ trưởng Bộ Tài chính ban hành Thông tư h</w:t>
      </w:r>
      <w:r w:rsidRPr="005D3146">
        <w:rPr>
          <w:rFonts w:asciiTheme="majorHAnsi" w:eastAsia="Times New Roman" w:hAnsiTheme="majorHAnsi" w:cstheme="majorHAnsi"/>
          <w:i/>
          <w:sz w:val="28"/>
          <w:szCs w:val="28"/>
          <w:lang w:eastAsia="vi-VN"/>
        </w:rPr>
        <w:t xml:space="preserve">ướng dẫn việc trích lập, quản lý tiền lương, thù lao, tiền thưởng đối với Trưởng ban kiểm soát, Kiểm soát viên </w:t>
      </w:r>
      <w:r w:rsidR="00664EB9" w:rsidRPr="00664EB9">
        <w:rPr>
          <w:rFonts w:asciiTheme="majorHAnsi" w:eastAsia="Times New Roman" w:hAnsiTheme="majorHAnsi" w:cstheme="majorHAnsi"/>
          <w:i/>
          <w:sz w:val="28"/>
          <w:szCs w:val="28"/>
          <w:lang w:eastAsia="vi-VN"/>
        </w:rPr>
        <w:t>tại công ty trách nhiệm hữu hạn một thành viên do Nhà nước nắm giữ 100% vốn điều lệ</w:t>
      </w:r>
      <w:r w:rsidR="00664EB9" w:rsidRPr="005D3146">
        <w:rPr>
          <w:rFonts w:asciiTheme="majorHAnsi" w:eastAsia="Times New Roman" w:hAnsiTheme="majorHAnsi" w:cstheme="majorHAnsi"/>
          <w:i/>
          <w:sz w:val="28"/>
          <w:szCs w:val="28"/>
          <w:lang w:eastAsia="vi-VN"/>
        </w:rPr>
        <w:t xml:space="preserve"> </w:t>
      </w:r>
      <w:r w:rsidRPr="005D3146">
        <w:rPr>
          <w:rFonts w:asciiTheme="majorHAnsi" w:eastAsia="Times New Roman" w:hAnsiTheme="majorHAnsi" w:cstheme="majorHAnsi"/>
          <w:i/>
          <w:sz w:val="28"/>
          <w:szCs w:val="28"/>
          <w:lang w:eastAsia="vi-VN"/>
        </w:rPr>
        <w:t>theo quy định tại Nghị định số 52/2016/NĐ-CP ngày 13/6/2016 của Chính phủ.</w:t>
      </w:r>
    </w:p>
    <w:p w:rsidR="0046080D" w:rsidRPr="00C20493" w:rsidRDefault="0046080D" w:rsidP="00664EB9">
      <w:pPr>
        <w:shd w:val="clear" w:color="auto" w:fill="FFFFFF"/>
        <w:spacing w:before="120" w:after="120" w:line="271" w:lineRule="auto"/>
        <w:ind w:firstLine="720"/>
        <w:jc w:val="both"/>
        <w:rPr>
          <w:rFonts w:asciiTheme="majorHAnsi" w:eastAsia="Times New Roman" w:hAnsiTheme="majorHAnsi" w:cstheme="majorHAnsi"/>
          <w:i/>
          <w:sz w:val="26"/>
          <w:szCs w:val="28"/>
          <w:lang w:eastAsia="vi-VN"/>
        </w:rPr>
      </w:pPr>
    </w:p>
    <w:p w:rsidR="00664EB9" w:rsidRPr="005849BE" w:rsidRDefault="00664EB9" w:rsidP="00664EB9">
      <w:pPr>
        <w:shd w:val="clear" w:color="auto" w:fill="FFFFFF"/>
        <w:spacing w:before="120" w:after="120" w:line="271" w:lineRule="auto"/>
        <w:ind w:firstLine="720"/>
        <w:jc w:val="both"/>
        <w:rPr>
          <w:rFonts w:asciiTheme="majorHAnsi" w:eastAsia="Times New Roman" w:hAnsiTheme="majorHAnsi" w:cstheme="majorHAnsi"/>
          <w:sz w:val="6"/>
          <w:szCs w:val="28"/>
          <w:lang w:eastAsia="vi-VN"/>
        </w:rPr>
      </w:pPr>
    </w:p>
    <w:p w:rsidR="00B21876" w:rsidRPr="005D3146" w:rsidRDefault="003734C6" w:rsidP="00664EB9">
      <w:pPr>
        <w:shd w:val="clear" w:color="auto" w:fill="FFFFFF"/>
        <w:spacing w:before="120" w:after="120" w:line="271" w:lineRule="auto"/>
        <w:jc w:val="center"/>
        <w:rPr>
          <w:rFonts w:asciiTheme="majorHAnsi" w:eastAsia="Times New Roman" w:hAnsiTheme="majorHAnsi" w:cstheme="majorHAnsi"/>
          <w:b/>
          <w:bCs/>
          <w:sz w:val="28"/>
          <w:szCs w:val="28"/>
          <w:lang w:val="en-US" w:eastAsia="vi-VN"/>
        </w:rPr>
      </w:pPr>
      <w:r w:rsidRPr="005D3146">
        <w:rPr>
          <w:rFonts w:asciiTheme="majorHAnsi" w:eastAsia="Times New Roman" w:hAnsiTheme="majorHAnsi" w:cstheme="majorHAnsi"/>
          <w:b/>
          <w:bCs/>
          <w:sz w:val="28"/>
          <w:szCs w:val="28"/>
          <w:lang w:val="en-US" w:eastAsia="vi-VN"/>
        </w:rPr>
        <w:t>Chương I</w:t>
      </w:r>
    </w:p>
    <w:p w:rsidR="00B21876" w:rsidRDefault="00B21876" w:rsidP="00664EB9">
      <w:pPr>
        <w:shd w:val="clear" w:color="auto" w:fill="FFFFFF"/>
        <w:spacing w:before="120" w:after="120" w:line="271" w:lineRule="auto"/>
        <w:jc w:val="center"/>
        <w:rPr>
          <w:rFonts w:asciiTheme="majorHAnsi" w:eastAsia="Times New Roman" w:hAnsiTheme="majorHAnsi" w:cstheme="majorHAnsi"/>
          <w:b/>
          <w:bCs/>
          <w:sz w:val="26"/>
          <w:szCs w:val="26"/>
          <w:lang w:val="en-US" w:eastAsia="vi-VN"/>
        </w:rPr>
      </w:pPr>
      <w:r w:rsidRPr="005D3146">
        <w:rPr>
          <w:rFonts w:asciiTheme="majorHAnsi" w:eastAsia="Times New Roman" w:hAnsiTheme="majorHAnsi" w:cstheme="majorHAnsi"/>
          <w:b/>
          <w:bCs/>
          <w:sz w:val="28"/>
          <w:szCs w:val="28"/>
          <w:lang w:eastAsia="vi-VN"/>
        </w:rPr>
        <w:t> </w:t>
      </w:r>
      <w:r w:rsidRPr="005D3146">
        <w:rPr>
          <w:rFonts w:asciiTheme="majorHAnsi" w:eastAsia="Times New Roman" w:hAnsiTheme="majorHAnsi" w:cstheme="majorHAnsi"/>
          <w:b/>
          <w:bCs/>
          <w:sz w:val="26"/>
          <w:szCs w:val="26"/>
          <w:lang w:eastAsia="vi-VN"/>
        </w:rPr>
        <w:t>QUY ĐỊNH CHUNG</w:t>
      </w:r>
    </w:p>
    <w:p w:rsidR="00664EB9" w:rsidRPr="00664EB9" w:rsidRDefault="00664EB9" w:rsidP="00664EB9">
      <w:pPr>
        <w:shd w:val="clear" w:color="auto" w:fill="FFFFFF"/>
        <w:spacing w:before="120" w:after="120" w:line="271" w:lineRule="auto"/>
        <w:jc w:val="center"/>
        <w:rPr>
          <w:rFonts w:asciiTheme="majorHAnsi" w:eastAsia="Times New Roman" w:hAnsiTheme="majorHAnsi" w:cstheme="majorHAnsi"/>
          <w:b/>
          <w:bCs/>
          <w:sz w:val="2"/>
          <w:szCs w:val="26"/>
          <w:lang w:val="en-US" w:eastAsia="vi-VN"/>
        </w:rPr>
      </w:pP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b/>
          <w:bCs/>
          <w:sz w:val="28"/>
          <w:szCs w:val="28"/>
          <w:lang w:eastAsia="vi-VN"/>
        </w:rPr>
        <w:t>Điều 1. Phạm vi điều chỉnh</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Thông tư này hướng dẫn việc trích lập, quản lý quỹ tiền lương, thù lao, tiền thưởng đối với Trưởng ban kiểm soát, Kiểm soát viên tại công ty trách nhiệm hữu hạn một thành viên do Nhà nước nắm giữ 100% vốn điều lệ.</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lastRenderedPageBreak/>
        <w:t>Đối với Trưởng ban kiểm soát, Kiểm soát viên trong công ty trách nhiệm hữu hạn một thành viên do Nhà nước nắm giữ 100% vốn điều lệ được thành lập và hoạt động theo quy định của Luật Chứng khoán, Luật các tổ chức tín dụng, Luật bảo hiểm tiền gửi, quỹ tài chính nhà nước ngoài ngân sách, tổ chức xử lý mua bán nợ của Nhà nước thì thực hiện theo quy định tại văn bản pháp luật đặc thù.</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b/>
          <w:bCs/>
          <w:sz w:val="28"/>
          <w:szCs w:val="28"/>
          <w:lang w:eastAsia="vi-VN"/>
        </w:rPr>
        <w:t>Điều 2. Đối tượng áp dụng</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1. Trưởng ban kiểm soát, Kiểm soát viên trong công ty trách nhiệm hữu hạn một thành viên do Nhà nước nắm giữ 100% vốn điều lệ.</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2. </w:t>
      </w:r>
      <w:r w:rsidR="00BB4865" w:rsidRPr="005D3146">
        <w:rPr>
          <w:rFonts w:asciiTheme="majorHAnsi" w:eastAsia="Times New Roman" w:hAnsiTheme="majorHAnsi" w:cstheme="majorHAnsi"/>
          <w:sz w:val="28"/>
          <w:szCs w:val="28"/>
          <w:lang w:eastAsia="vi-VN"/>
        </w:rPr>
        <w:t>C</w:t>
      </w:r>
      <w:r w:rsidRPr="005D3146">
        <w:rPr>
          <w:rFonts w:asciiTheme="majorHAnsi" w:eastAsia="Times New Roman" w:hAnsiTheme="majorHAnsi" w:cstheme="majorHAnsi"/>
          <w:sz w:val="28"/>
          <w:szCs w:val="28"/>
          <w:lang w:eastAsia="vi-VN"/>
        </w:rPr>
        <w:t>ác Bộ, cơ quan ngang Bộ, cơ quan thuộc Chính phủ, Ủy ban nhân dân tỉnh, thành phố trực thuộc Trung ương hoặc tổ chức được thành lập theo quy định của pháp luật được Chính phủ giao thực hiện quyền, trách nhiệm của đại diện chủ sở hữu Nhà nước đối với công ty trách nhiệm hữu hạn một thành viên do Nhà nước nắm giữ 100% vốn điều lệ.</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xml:space="preserve">3. Công ty trách nhiệm hữu hạn một thành viên do Nhà nước </w:t>
      </w:r>
      <w:r w:rsidR="008A19A4" w:rsidRPr="005D3146">
        <w:rPr>
          <w:rFonts w:asciiTheme="majorHAnsi" w:eastAsia="Times New Roman" w:hAnsiTheme="majorHAnsi" w:cstheme="majorHAnsi"/>
          <w:sz w:val="28"/>
          <w:szCs w:val="28"/>
          <w:lang w:eastAsia="vi-VN"/>
        </w:rPr>
        <w:t>nắm giữ 100% vốn điều lệ (sau đây gọi là công ty TNHH MTV).</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xml:space="preserve">4. Cơ quan, tổ chức và cá nhân có liên quan đến việc trích lập, quản lý quỹ tiền lương, thù lao, tiền thưởng đối với Trưởng ban kiểm soát, Kiểm soát viên tại </w:t>
      </w:r>
      <w:r w:rsidR="008A19A4" w:rsidRPr="005D3146">
        <w:rPr>
          <w:rFonts w:asciiTheme="majorHAnsi" w:eastAsia="Times New Roman" w:hAnsiTheme="majorHAnsi" w:cstheme="majorHAnsi"/>
          <w:sz w:val="28"/>
          <w:szCs w:val="28"/>
          <w:lang w:eastAsia="vi-VN"/>
        </w:rPr>
        <w:t>công ty TNHH MTV.</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b/>
          <w:bCs/>
          <w:sz w:val="28"/>
          <w:szCs w:val="28"/>
          <w:lang w:eastAsia="vi-VN"/>
        </w:rPr>
        <w:t>Điều 3. Giải thích từ ngữ</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Một số từ ngữ trong Thông tư này được hiểu như sau:</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1. Kiểm soát viên công ty TNHH MTV do Nhà nước nắm giữ 100% vốn điều lệ (sau đây gọi là Kiểm soát viên) là cá nhân do cơ quan đại diện chủ sở hữu quyết định bổ nhiệm, bổ nhiệm lại, thực hiện các quyền và nghĩa vụ theo quy định tại Điều 104, 105 và 106 Luật Doanh nghiệp và quy định tại Quy chế hoạt động của Kiểm soát viên công ty TNHH MTV do Nhà nước nắm giữ 100% vốn điều lệ.</w:t>
      </w:r>
    </w:p>
    <w:p w:rsidR="00B02E14" w:rsidRPr="005D3146" w:rsidRDefault="004650C5"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xml:space="preserve">2. </w:t>
      </w:r>
      <w:r w:rsidR="00C24940" w:rsidRPr="005D3146">
        <w:rPr>
          <w:rFonts w:asciiTheme="majorHAnsi" w:eastAsia="Times New Roman" w:hAnsiTheme="majorHAnsi" w:cstheme="majorHAnsi"/>
          <w:sz w:val="28"/>
          <w:szCs w:val="28"/>
          <w:lang w:eastAsia="vi-VN"/>
        </w:rPr>
        <w:t xml:space="preserve">Kiểm soát viên tài chính là cá nhân do Bộ trưởng Bộ </w:t>
      </w:r>
      <w:r w:rsidR="00D4439F" w:rsidRPr="005D3146">
        <w:rPr>
          <w:rFonts w:asciiTheme="majorHAnsi" w:eastAsia="Times New Roman" w:hAnsiTheme="majorHAnsi" w:cstheme="majorHAnsi"/>
          <w:sz w:val="28"/>
          <w:szCs w:val="28"/>
          <w:lang w:eastAsia="vi-VN"/>
        </w:rPr>
        <w:t>T</w:t>
      </w:r>
      <w:r w:rsidR="00C24940" w:rsidRPr="005D3146">
        <w:rPr>
          <w:rFonts w:asciiTheme="majorHAnsi" w:eastAsia="Times New Roman" w:hAnsiTheme="majorHAnsi" w:cstheme="majorHAnsi"/>
          <w:sz w:val="28"/>
          <w:szCs w:val="28"/>
          <w:lang w:eastAsia="vi-VN"/>
        </w:rPr>
        <w:t>ài chính quyết định bổ nhiệm, bổ nhiệm lại</w:t>
      </w:r>
      <w:r w:rsidR="008A19A4" w:rsidRPr="005D3146">
        <w:rPr>
          <w:rFonts w:asciiTheme="majorHAnsi" w:eastAsia="Times New Roman" w:hAnsiTheme="majorHAnsi" w:cstheme="majorHAnsi"/>
          <w:sz w:val="28"/>
          <w:szCs w:val="28"/>
          <w:lang w:eastAsia="vi-VN"/>
        </w:rPr>
        <w:t>,</w:t>
      </w:r>
      <w:r w:rsidR="00C24940" w:rsidRPr="005D3146">
        <w:rPr>
          <w:rFonts w:asciiTheme="majorHAnsi" w:eastAsia="Times New Roman" w:hAnsiTheme="majorHAnsi" w:cstheme="majorHAnsi"/>
          <w:sz w:val="28"/>
          <w:szCs w:val="28"/>
          <w:lang w:eastAsia="vi-VN"/>
        </w:rPr>
        <w:t xml:space="preserve"> thực hiện các quyền và nghĩa vụ của Kiểm soát viên </w:t>
      </w:r>
      <w:r w:rsidR="003734C6" w:rsidRPr="005D3146">
        <w:rPr>
          <w:rFonts w:asciiTheme="majorHAnsi" w:eastAsia="Times New Roman" w:hAnsiTheme="majorHAnsi" w:cstheme="majorHAnsi"/>
          <w:sz w:val="28"/>
          <w:szCs w:val="28"/>
          <w:lang w:eastAsia="vi-VN"/>
        </w:rPr>
        <w:t>tại công ty mẹ của Tập đoàn kinh tế nhà nước.</w:t>
      </w:r>
    </w:p>
    <w:p w:rsidR="00B21876" w:rsidRPr="00C20493" w:rsidRDefault="004650C5"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3</w:t>
      </w:r>
      <w:r w:rsidR="00B21876" w:rsidRPr="005D3146">
        <w:rPr>
          <w:rFonts w:asciiTheme="majorHAnsi" w:eastAsia="Times New Roman" w:hAnsiTheme="majorHAnsi" w:cstheme="majorHAnsi"/>
          <w:sz w:val="28"/>
          <w:szCs w:val="28"/>
          <w:lang w:eastAsia="vi-VN"/>
        </w:rPr>
        <w:t>. Trưởng ban kiểm soát do cơ quan đại diện chủ sở hữu bổ nhiệm, bổ nhiệm lại, làm việc chuyên trách tại công ty TNHH MTV, có nhiệm vụ xây dựng kế hoạch công tác hàng tháng, hàng quý và hàng năm của Ban kiểm soát, phân công nhiệm vụ và công việc cụ thể cho từng Kiểm soát viên thuộc Ban kiểm soát.</w:t>
      </w:r>
    </w:p>
    <w:p w:rsidR="0046080D" w:rsidRPr="00C20493" w:rsidRDefault="0046080D"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p>
    <w:p w:rsidR="00B21876" w:rsidRPr="005D3146" w:rsidRDefault="003734C6" w:rsidP="00664EB9">
      <w:pPr>
        <w:shd w:val="clear" w:color="auto" w:fill="FFFFFF"/>
        <w:spacing w:before="120" w:after="120" w:line="271" w:lineRule="auto"/>
        <w:jc w:val="center"/>
        <w:rPr>
          <w:rFonts w:asciiTheme="majorHAnsi" w:eastAsia="Times New Roman" w:hAnsiTheme="majorHAnsi" w:cstheme="majorHAnsi"/>
          <w:b/>
          <w:bCs/>
          <w:sz w:val="28"/>
          <w:szCs w:val="28"/>
          <w:lang w:eastAsia="vi-VN"/>
        </w:rPr>
      </w:pPr>
      <w:r w:rsidRPr="005D3146">
        <w:rPr>
          <w:rFonts w:asciiTheme="majorHAnsi" w:eastAsia="Times New Roman" w:hAnsiTheme="majorHAnsi" w:cstheme="majorHAnsi"/>
          <w:b/>
          <w:bCs/>
          <w:sz w:val="28"/>
          <w:szCs w:val="28"/>
          <w:lang w:eastAsia="vi-VN"/>
        </w:rPr>
        <w:lastRenderedPageBreak/>
        <w:t>Chương II</w:t>
      </w:r>
    </w:p>
    <w:p w:rsidR="00B21876" w:rsidRPr="005D3146" w:rsidRDefault="00B21876" w:rsidP="00664EB9">
      <w:pPr>
        <w:shd w:val="clear" w:color="auto" w:fill="FFFFFF"/>
        <w:spacing w:before="120" w:after="120" w:line="271" w:lineRule="auto"/>
        <w:jc w:val="center"/>
        <w:rPr>
          <w:rFonts w:asciiTheme="majorHAnsi" w:eastAsia="Times New Roman" w:hAnsiTheme="majorHAnsi" w:cstheme="majorHAnsi"/>
          <w:b/>
          <w:bCs/>
          <w:sz w:val="26"/>
          <w:szCs w:val="28"/>
          <w:lang w:eastAsia="vi-VN"/>
        </w:rPr>
      </w:pPr>
      <w:r w:rsidRPr="005D3146">
        <w:rPr>
          <w:rFonts w:asciiTheme="majorHAnsi" w:eastAsia="Times New Roman" w:hAnsiTheme="majorHAnsi" w:cstheme="majorHAnsi"/>
          <w:b/>
          <w:bCs/>
          <w:sz w:val="26"/>
          <w:szCs w:val="28"/>
          <w:lang w:eastAsia="vi-VN"/>
        </w:rPr>
        <w:t xml:space="preserve">TRÍCH LẬP, QUẢN LÝ QUỸ TIỀN LƯƠNG, THÙ LAO, TIỀN THƯỞNG ĐỐI VỚI TRƯỞNG BAN KIỂM SOÁT VÀ  KIỂM SOÁT VIÊN </w:t>
      </w:r>
    </w:p>
    <w:p w:rsidR="00B21876" w:rsidRPr="005D3146" w:rsidRDefault="001504ED"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Điều 4.</w:t>
      </w:r>
      <w:r w:rsidRPr="001504ED">
        <w:rPr>
          <w:rFonts w:asciiTheme="majorHAnsi" w:eastAsia="Times New Roman" w:hAnsiTheme="majorHAnsi" w:cstheme="majorHAnsi"/>
          <w:b/>
          <w:bCs/>
          <w:sz w:val="28"/>
          <w:szCs w:val="28"/>
          <w:lang w:eastAsia="vi-VN"/>
        </w:rPr>
        <w:t xml:space="preserve"> T</w:t>
      </w:r>
      <w:r w:rsidR="00B21876" w:rsidRPr="005D3146">
        <w:rPr>
          <w:rFonts w:asciiTheme="majorHAnsi" w:eastAsia="Times New Roman" w:hAnsiTheme="majorHAnsi" w:cstheme="majorHAnsi"/>
          <w:b/>
          <w:bCs/>
          <w:sz w:val="28"/>
          <w:szCs w:val="28"/>
          <w:lang w:eastAsia="vi-VN"/>
        </w:rPr>
        <w:t xml:space="preserve">rích lập quỹ tiền lương, thù lao của Trưởng ban kiểm soát và Kiểm soát viên </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1. Quý I hàng năm, công ty TNHH MTV thực</w:t>
      </w:r>
      <w:r w:rsidR="001504ED">
        <w:rPr>
          <w:rFonts w:asciiTheme="majorHAnsi" w:eastAsia="Times New Roman" w:hAnsiTheme="majorHAnsi" w:cstheme="majorHAnsi"/>
          <w:sz w:val="28"/>
          <w:szCs w:val="28"/>
          <w:lang w:eastAsia="vi-VN"/>
        </w:rPr>
        <w:t xml:space="preserve"> hiện xác định</w:t>
      </w:r>
      <w:r w:rsidR="001504ED" w:rsidRPr="001504ED">
        <w:rPr>
          <w:rFonts w:asciiTheme="majorHAnsi" w:eastAsia="Times New Roman" w:hAnsiTheme="majorHAnsi" w:cstheme="majorHAnsi"/>
          <w:sz w:val="28"/>
          <w:szCs w:val="28"/>
          <w:lang w:eastAsia="vi-VN"/>
        </w:rPr>
        <w:t xml:space="preserve"> </w:t>
      </w:r>
      <w:r w:rsidRPr="005D3146">
        <w:rPr>
          <w:rFonts w:asciiTheme="majorHAnsi" w:eastAsia="Times New Roman" w:hAnsiTheme="majorHAnsi" w:cstheme="majorHAnsi"/>
          <w:sz w:val="28"/>
          <w:szCs w:val="28"/>
          <w:lang w:eastAsia="vi-VN"/>
        </w:rPr>
        <w:t>quỹ tiền lương, thù lao của Trưởng ban kiểm soát và Kiểm soát viên theo quy định tại Điều 4, Điều 5 và Điều 6 Nghị định số 52/2016/NĐ-CP.</w:t>
      </w:r>
    </w:p>
    <w:p w:rsidR="00B21876" w:rsidRPr="008B5F39"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xml:space="preserve">2. Trước ngày 15 hàng tháng, </w:t>
      </w:r>
      <w:r w:rsidR="008A19A4" w:rsidRPr="005D3146">
        <w:rPr>
          <w:rFonts w:asciiTheme="majorHAnsi" w:eastAsia="Times New Roman" w:hAnsiTheme="majorHAnsi" w:cstheme="majorHAnsi"/>
          <w:sz w:val="28"/>
          <w:szCs w:val="28"/>
          <w:lang w:eastAsia="vi-VN"/>
        </w:rPr>
        <w:t>công ty TNHH MTV</w:t>
      </w:r>
      <w:r w:rsidRPr="005D3146">
        <w:rPr>
          <w:rFonts w:asciiTheme="majorHAnsi" w:eastAsia="Times New Roman" w:hAnsiTheme="majorHAnsi" w:cstheme="majorHAnsi"/>
          <w:sz w:val="28"/>
          <w:szCs w:val="28"/>
          <w:lang w:eastAsia="vi-VN"/>
        </w:rPr>
        <w:t xml:space="preserve"> thực hiện chuyển 80% số tiền lương, thù lao kế hoạch theo tháng</w:t>
      </w:r>
      <w:r w:rsidR="003F1E71" w:rsidRPr="005D3146">
        <w:rPr>
          <w:rFonts w:asciiTheme="majorHAnsi" w:eastAsia="Times New Roman" w:hAnsiTheme="majorHAnsi" w:cstheme="majorHAnsi"/>
          <w:sz w:val="28"/>
          <w:szCs w:val="28"/>
          <w:lang w:eastAsia="vi-VN"/>
        </w:rPr>
        <w:t xml:space="preserve"> (sau khi trừ khoản phải nộp bảo hiểm xã hội, bảo hiểm y tế và các khoản khác theo quy định của pháp luật</w:t>
      </w:r>
      <w:r w:rsidR="0019754F" w:rsidRPr="005D3146">
        <w:rPr>
          <w:rFonts w:asciiTheme="majorHAnsi" w:eastAsia="Times New Roman" w:hAnsiTheme="majorHAnsi" w:cstheme="majorHAnsi"/>
          <w:sz w:val="28"/>
          <w:szCs w:val="28"/>
          <w:lang w:eastAsia="vi-VN"/>
        </w:rPr>
        <w:t>)</w:t>
      </w:r>
      <w:r w:rsidRPr="005D3146">
        <w:rPr>
          <w:rFonts w:asciiTheme="majorHAnsi" w:eastAsia="Times New Roman" w:hAnsiTheme="majorHAnsi" w:cstheme="majorHAnsi"/>
          <w:sz w:val="28"/>
          <w:szCs w:val="28"/>
          <w:lang w:eastAsia="vi-VN"/>
        </w:rPr>
        <w:t xml:space="preserve"> về quỹ tiền lương, thù lao của Trưởng ban kiểm soát và Kiểm soát viên do cơ quan đại diện chủ sở hữu</w:t>
      </w:r>
      <w:r w:rsidR="000731DF" w:rsidRPr="005D3146">
        <w:rPr>
          <w:rFonts w:asciiTheme="majorHAnsi" w:eastAsia="Times New Roman" w:hAnsiTheme="majorHAnsi" w:cstheme="majorHAnsi"/>
          <w:sz w:val="28"/>
          <w:szCs w:val="28"/>
          <w:lang w:eastAsia="vi-VN"/>
        </w:rPr>
        <w:t>,</w:t>
      </w:r>
      <w:r w:rsidRPr="005D3146">
        <w:rPr>
          <w:rFonts w:asciiTheme="majorHAnsi" w:eastAsia="Times New Roman" w:hAnsiTheme="majorHAnsi" w:cstheme="majorHAnsi"/>
          <w:sz w:val="28"/>
          <w:szCs w:val="28"/>
          <w:lang w:eastAsia="vi-VN"/>
        </w:rPr>
        <w:t xml:space="preserve"> </w:t>
      </w:r>
      <w:r w:rsidR="000731DF" w:rsidRPr="005D3146">
        <w:rPr>
          <w:rFonts w:asciiTheme="majorHAnsi" w:eastAsia="Times New Roman" w:hAnsiTheme="majorHAnsi" w:cstheme="majorHAnsi"/>
          <w:sz w:val="28"/>
          <w:szCs w:val="28"/>
          <w:lang w:eastAsia="vi-VN"/>
        </w:rPr>
        <w:t>Bộ Tài chính</w:t>
      </w:r>
      <w:r w:rsidR="00922909" w:rsidRPr="005D3146">
        <w:rPr>
          <w:rFonts w:asciiTheme="majorHAnsi" w:eastAsia="Times New Roman" w:hAnsiTheme="majorHAnsi" w:cstheme="majorHAnsi"/>
          <w:sz w:val="28"/>
          <w:szCs w:val="28"/>
          <w:lang w:eastAsia="vi-VN"/>
        </w:rPr>
        <w:t xml:space="preserve"> (đối với Kiểm soát viên tài chính tại các tập đoàn kinh tế nhà nước)</w:t>
      </w:r>
      <w:r w:rsidR="000731DF" w:rsidRPr="005D3146">
        <w:rPr>
          <w:rFonts w:asciiTheme="majorHAnsi" w:eastAsia="Times New Roman" w:hAnsiTheme="majorHAnsi" w:cstheme="majorHAnsi"/>
          <w:sz w:val="28"/>
          <w:szCs w:val="28"/>
          <w:lang w:eastAsia="vi-VN"/>
        </w:rPr>
        <w:t xml:space="preserve"> </w:t>
      </w:r>
      <w:r w:rsidRPr="005D3146">
        <w:rPr>
          <w:rFonts w:asciiTheme="majorHAnsi" w:eastAsia="Times New Roman" w:hAnsiTheme="majorHAnsi" w:cstheme="majorHAnsi"/>
          <w:sz w:val="28"/>
          <w:szCs w:val="28"/>
          <w:lang w:eastAsia="vi-VN"/>
        </w:rPr>
        <w:t>quản lý</w:t>
      </w:r>
      <w:r w:rsidR="000731DF" w:rsidRPr="005D3146">
        <w:rPr>
          <w:rFonts w:asciiTheme="majorHAnsi" w:eastAsia="Times New Roman" w:hAnsiTheme="majorHAnsi" w:cstheme="majorHAnsi"/>
          <w:sz w:val="28"/>
          <w:szCs w:val="28"/>
          <w:lang w:eastAsia="vi-VN"/>
        </w:rPr>
        <w:t xml:space="preserve">. </w:t>
      </w:r>
      <w:r w:rsidR="00DC30FD" w:rsidRPr="005D3146">
        <w:rPr>
          <w:rFonts w:asciiTheme="majorHAnsi" w:eastAsia="Times New Roman" w:hAnsiTheme="majorHAnsi" w:cstheme="majorHAnsi"/>
          <w:sz w:val="28"/>
          <w:szCs w:val="28"/>
          <w:lang w:eastAsia="vi-VN"/>
        </w:rPr>
        <w:t xml:space="preserve">Trường hợp kế hoạch quỹ tiền lương, thù lao chưa được </w:t>
      </w:r>
      <w:r w:rsidR="0095681E" w:rsidRPr="005D3146">
        <w:rPr>
          <w:rFonts w:asciiTheme="majorHAnsi" w:eastAsia="Times New Roman" w:hAnsiTheme="majorHAnsi" w:cstheme="majorHAnsi"/>
          <w:sz w:val="28"/>
          <w:szCs w:val="28"/>
          <w:lang w:eastAsia="vi-VN"/>
        </w:rPr>
        <w:t xml:space="preserve">cơ quan đại diện chủ sở hữu phê duyệt thì </w:t>
      </w:r>
      <w:r w:rsidR="00D85A9E" w:rsidRPr="005D3146">
        <w:rPr>
          <w:rFonts w:asciiTheme="majorHAnsi" w:eastAsia="Times New Roman" w:hAnsiTheme="majorHAnsi" w:cstheme="majorHAnsi"/>
          <w:sz w:val="28"/>
          <w:szCs w:val="28"/>
          <w:lang w:eastAsia="vi-VN"/>
        </w:rPr>
        <w:t xml:space="preserve">công ty TNHH MTV </w:t>
      </w:r>
      <w:r w:rsidR="0095681E" w:rsidRPr="005D3146">
        <w:rPr>
          <w:rFonts w:asciiTheme="majorHAnsi" w:eastAsia="Times New Roman" w:hAnsiTheme="majorHAnsi" w:cstheme="majorHAnsi"/>
          <w:sz w:val="28"/>
          <w:szCs w:val="28"/>
          <w:lang w:eastAsia="vi-VN"/>
        </w:rPr>
        <w:t>tạm chuyển bằng 80% tiền lương, thù lao</w:t>
      </w:r>
      <w:r w:rsidR="00D85A9E" w:rsidRPr="005D3146">
        <w:rPr>
          <w:rFonts w:asciiTheme="majorHAnsi" w:eastAsia="Times New Roman" w:hAnsiTheme="majorHAnsi" w:cstheme="majorHAnsi"/>
          <w:sz w:val="28"/>
          <w:szCs w:val="28"/>
          <w:lang w:eastAsia="vi-VN"/>
        </w:rPr>
        <w:t xml:space="preserve"> theo</w:t>
      </w:r>
      <w:r w:rsidR="0095681E" w:rsidRPr="005D3146">
        <w:rPr>
          <w:rFonts w:asciiTheme="majorHAnsi" w:eastAsia="Times New Roman" w:hAnsiTheme="majorHAnsi" w:cstheme="majorHAnsi"/>
          <w:sz w:val="28"/>
          <w:szCs w:val="28"/>
          <w:lang w:eastAsia="vi-VN"/>
        </w:rPr>
        <w:t xml:space="preserve"> tháng của năm trước liền kề. Sau khi cơ quan đại diện chủ sở hữu phê duyệt kế hoạch quỹ tiền lương, thù lao của năm thì công ty TNHH MTV thực hiện bù trừ đảm bảo mức tạm ứng không quá 80% số tiền lương, thù lao theo tháng của năm kế hoạch.</w:t>
      </w:r>
    </w:p>
    <w:p w:rsidR="00FD427A" w:rsidRPr="008B5F39" w:rsidRDefault="001504ED"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xml:space="preserve"> Trước ngày 20 hàng tháng, cơ quan đại diện chủ sở hữu, Bộ Tài chính (đối với Kiểm soát viên tài chính tại các tập đoàn kinh tế nhà nước) thực hiện chi trả tiền lương, thù lao cho Trưởng ban kiểm soát và Kiểm soát viên </w:t>
      </w:r>
      <w:r w:rsidR="008C45D5" w:rsidRPr="008B5F39">
        <w:rPr>
          <w:rFonts w:asciiTheme="majorHAnsi" w:eastAsia="Times New Roman" w:hAnsiTheme="majorHAnsi" w:cstheme="majorHAnsi"/>
          <w:sz w:val="28"/>
          <w:szCs w:val="28"/>
          <w:lang w:eastAsia="vi-VN"/>
        </w:rPr>
        <w:t>(</w:t>
      </w:r>
      <w:r w:rsidR="008C45D5" w:rsidRPr="005D3146">
        <w:rPr>
          <w:rFonts w:asciiTheme="majorHAnsi" w:eastAsia="Times New Roman" w:hAnsiTheme="majorHAnsi" w:cstheme="majorHAnsi"/>
          <w:sz w:val="28"/>
          <w:szCs w:val="28"/>
          <w:lang w:eastAsia="vi-VN"/>
        </w:rPr>
        <w:t>80% của số tiền lương, thù lao theo kế hoạch năm chia 12 tháng</w:t>
      </w:r>
      <w:r w:rsidR="008C45D5" w:rsidRPr="008B5F39">
        <w:rPr>
          <w:rFonts w:asciiTheme="majorHAnsi" w:eastAsia="Times New Roman" w:hAnsiTheme="majorHAnsi" w:cstheme="majorHAnsi"/>
          <w:sz w:val="28"/>
          <w:szCs w:val="28"/>
          <w:lang w:eastAsia="vi-VN"/>
        </w:rPr>
        <w:t>)</w:t>
      </w:r>
      <w:r w:rsidR="008C45D5" w:rsidRPr="005D3146">
        <w:rPr>
          <w:rFonts w:asciiTheme="majorHAnsi" w:eastAsia="Times New Roman" w:hAnsiTheme="majorHAnsi" w:cstheme="majorHAnsi"/>
          <w:sz w:val="28"/>
          <w:szCs w:val="28"/>
          <w:lang w:eastAsia="vi-VN"/>
        </w:rPr>
        <w:t xml:space="preserve"> </w:t>
      </w:r>
      <w:r w:rsidRPr="005D3146">
        <w:rPr>
          <w:rFonts w:asciiTheme="majorHAnsi" w:eastAsia="Times New Roman" w:hAnsiTheme="majorHAnsi" w:cstheme="majorHAnsi"/>
          <w:sz w:val="28"/>
          <w:szCs w:val="28"/>
          <w:lang w:eastAsia="vi-VN"/>
        </w:rPr>
        <w:t>vào tài khoản cá nhân của Trưởng ban kiểm soát và Kiểm soát viên</w:t>
      </w:r>
      <w:r w:rsidR="008C45D5" w:rsidRPr="008B5F39">
        <w:rPr>
          <w:rFonts w:asciiTheme="majorHAnsi" w:eastAsia="Times New Roman" w:hAnsiTheme="majorHAnsi" w:cstheme="majorHAnsi"/>
          <w:sz w:val="28"/>
          <w:szCs w:val="28"/>
          <w:lang w:eastAsia="vi-VN"/>
        </w:rPr>
        <w:t>.</w:t>
      </w:r>
    </w:p>
    <w:p w:rsidR="00A00944" w:rsidRPr="008B5F39" w:rsidRDefault="00B81D08"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B81D08">
        <w:rPr>
          <w:rFonts w:asciiTheme="majorHAnsi" w:eastAsia="Times New Roman" w:hAnsiTheme="majorHAnsi" w:cstheme="majorHAnsi"/>
          <w:sz w:val="28"/>
          <w:szCs w:val="28"/>
          <w:lang w:eastAsia="vi-VN"/>
        </w:rPr>
        <w:t>3</w:t>
      </w:r>
      <w:r w:rsidR="00B21876" w:rsidRPr="005D3146">
        <w:rPr>
          <w:rFonts w:asciiTheme="majorHAnsi" w:eastAsia="Times New Roman" w:hAnsiTheme="majorHAnsi" w:cstheme="majorHAnsi"/>
          <w:sz w:val="28"/>
          <w:szCs w:val="28"/>
          <w:lang w:eastAsia="vi-VN"/>
        </w:rPr>
        <w:t>. </w:t>
      </w:r>
      <w:r w:rsidR="00CA1E6C" w:rsidRPr="005D3146">
        <w:rPr>
          <w:rFonts w:asciiTheme="majorHAnsi" w:eastAsia="Times New Roman" w:hAnsiTheme="majorHAnsi" w:cstheme="majorHAnsi"/>
          <w:sz w:val="28"/>
          <w:szCs w:val="28"/>
          <w:lang w:eastAsia="vi-VN"/>
        </w:rPr>
        <w:t>Kết thúc năm tài chính</w:t>
      </w:r>
      <w:r w:rsidR="00B21876" w:rsidRPr="005D3146">
        <w:rPr>
          <w:rFonts w:asciiTheme="majorHAnsi" w:eastAsia="Times New Roman" w:hAnsiTheme="majorHAnsi" w:cstheme="majorHAnsi"/>
          <w:sz w:val="28"/>
          <w:szCs w:val="28"/>
          <w:lang w:eastAsia="vi-VN"/>
        </w:rPr>
        <w:t xml:space="preserve">, </w:t>
      </w:r>
      <w:r w:rsidR="00D85A9E" w:rsidRPr="005D3146">
        <w:rPr>
          <w:rFonts w:asciiTheme="majorHAnsi" w:eastAsia="Times New Roman" w:hAnsiTheme="majorHAnsi" w:cstheme="majorHAnsi"/>
          <w:sz w:val="28"/>
          <w:szCs w:val="28"/>
          <w:lang w:eastAsia="vi-VN"/>
        </w:rPr>
        <w:t>chậm nhất 15 ngày</w:t>
      </w:r>
      <w:r w:rsidR="00A46DEA" w:rsidRPr="005D3146">
        <w:rPr>
          <w:rFonts w:asciiTheme="majorHAnsi" w:eastAsia="Times New Roman" w:hAnsiTheme="majorHAnsi" w:cstheme="majorHAnsi"/>
          <w:sz w:val="28"/>
          <w:szCs w:val="28"/>
          <w:lang w:eastAsia="vi-VN"/>
        </w:rPr>
        <w:t xml:space="preserve"> </w:t>
      </w:r>
      <w:r w:rsidR="00B21876" w:rsidRPr="005D3146">
        <w:rPr>
          <w:rFonts w:asciiTheme="majorHAnsi" w:eastAsia="Times New Roman" w:hAnsiTheme="majorHAnsi" w:cstheme="majorHAnsi"/>
          <w:sz w:val="28"/>
          <w:szCs w:val="28"/>
          <w:lang w:eastAsia="vi-VN"/>
        </w:rPr>
        <w:t>sau khi quyết toán quỹ tiền lương,</w:t>
      </w:r>
      <w:r w:rsidR="00A46DEA" w:rsidRPr="005D3146">
        <w:rPr>
          <w:rFonts w:asciiTheme="majorHAnsi" w:eastAsia="Times New Roman" w:hAnsiTheme="majorHAnsi" w:cstheme="majorHAnsi"/>
          <w:sz w:val="28"/>
          <w:szCs w:val="28"/>
          <w:lang w:eastAsia="vi-VN"/>
        </w:rPr>
        <w:t xml:space="preserve"> </w:t>
      </w:r>
      <w:r w:rsidR="00CA1E6C" w:rsidRPr="005D3146">
        <w:rPr>
          <w:rFonts w:asciiTheme="majorHAnsi" w:eastAsia="Times New Roman" w:hAnsiTheme="majorHAnsi" w:cstheme="majorHAnsi"/>
          <w:sz w:val="28"/>
          <w:szCs w:val="28"/>
          <w:lang w:eastAsia="vi-VN"/>
        </w:rPr>
        <w:t>công ty TNHH MTV thực hiện chuyển phần tiền lương, thù lao còn lại</w:t>
      </w:r>
      <w:r w:rsidR="003F1E71" w:rsidRPr="005D3146">
        <w:rPr>
          <w:rFonts w:asciiTheme="majorHAnsi" w:eastAsia="Times New Roman" w:hAnsiTheme="majorHAnsi" w:cstheme="majorHAnsi"/>
          <w:sz w:val="28"/>
          <w:szCs w:val="28"/>
          <w:lang w:eastAsia="vi-VN"/>
        </w:rPr>
        <w:t xml:space="preserve"> của Trưởng ban kiểm soát và Kiểm soát viên theo số đã được quyết toán</w:t>
      </w:r>
      <w:r w:rsidR="00CA1E6C" w:rsidRPr="005D3146">
        <w:rPr>
          <w:rFonts w:asciiTheme="majorHAnsi" w:eastAsia="Times New Roman" w:hAnsiTheme="majorHAnsi" w:cstheme="majorHAnsi"/>
          <w:sz w:val="28"/>
          <w:szCs w:val="28"/>
          <w:lang w:eastAsia="vi-VN"/>
        </w:rPr>
        <w:t xml:space="preserve"> về quỹ tiền lương, thù lao của Trưởng ban </w:t>
      </w:r>
      <w:r w:rsidR="000731DF" w:rsidRPr="005D3146">
        <w:rPr>
          <w:rFonts w:asciiTheme="majorHAnsi" w:eastAsia="Times New Roman" w:hAnsiTheme="majorHAnsi" w:cstheme="majorHAnsi"/>
          <w:sz w:val="28"/>
          <w:szCs w:val="28"/>
          <w:lang w:eastAsia="vi-VN"/>
        </w:rPr>
        <w:t>kiểm soát và Kiểm soát viên tại</w:t>
      </w:r>
      <w:r w:rsidR="00CA1E6C" w:rsidRPr="005D3146">
        <w:rPr>
          <w:rFonts w:asciiTheme="majorHAnsi" w:eastAsia="Times New Roman" w:hAnsiTheme="majorHAnsi" w:cstheme="majorHAnsi"/>
          <w:sz w:val="28"/>
          <w:szCs w:val="28"/>
          <w:lang w:eastAsia="vi-VN"/>
        </w:rPr>
        <w:t xml:space="preserve"> cơ quan đại diện chủ sở hữu</w:t>
      </w:r>
      <w:r w:rsidR="000731DF" w:rsidRPr="005D3146">
        <w:rPr>
          <w:rFonts w:asciiTheme="majorHAnsi" w:eastAsia="Times New Roman" w:hAnsiTheme="majorHAnsi" w:cstheme="majorHAnsi"/>
          <w:sz w:val="28"/>
          <w:szCs w:val="28"/>
          <w:lang w:eastAsia="vi-VN"/>
        </w:rPr>
        <w:t>, Bộ Tài chính</w:t>
      </w:r>
      <w:r w:rsidR="005D3146" w:rsidRPr="005D3146">
        <w:rPr>
          <w:rFonts w:asciiTheme="majorHAnsi" w:eastAsia="Times New Roman" w:hAnsiTheme="majorHAnsi" w:cstheme="majorHAnsi"/>
          <w:sz w:val="28"/>
          <w:szCs w:val="28"/>
          <w:lang w:eastAsia="vi-VN"/>
        </w:rPr>
        <w:t xml:space="preserve"> (đối với Kiểm soát viên tài chính tại các tập đoàn kinh tế nhà nước)</w:t>
      </w:r>
      <w:r w:rsidR="0094388A" w:rsidRPr="005D3146">
        <w:rPr>
          <w:rFonts w:asciiTheme="majorHAnsi" w:eastAsia="Times New Roman" w:hAnsiTheme="majorHAnsi" w:cstheme="majorHAnsi"/>
          <w:sz w:val="28"/>
          <w:szCs w:val="28"/>
          <w:lang w:eastAsia="vi-VN"/>
        </w:rPr>
        <w:t>.</w:t>
      </w:r>
      <w:r w:rsidR="00FD427A" w:rsidRPr="00FD427A">
        <w:rPr>
          <w:rFonts w:asciiTheme="majorHAnsi" w:eastAsia="Times New Roman" w:hAnsiTheme="majorHAnsi" w:cstheme="majorHAnsi"/>
          <w:sz w:val="28"/>
          <w:szCs w:val="28"/>
          <w:lang w:eastAsia="vi-VN"/>
        </w:rPr>
        <w:t xml:space="preserve"> </w:t>
      </w:r>
    </w:p>
    <w:p w:rsidR="0046080D" w:rsidRDefault="00A00944"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8B5F39">
        <w:rPr>
          <w:rFonts w:asciiTheme="majorHAnsi" w:eastAsia="Times New Roman" w:hAnsiTheme="majorHAnsi" w:cstheme="majorHAnsi"/>
          <w:sz w:val="28"/>
          <w:szCs w:val="28"/>
          <w:lang w:eastAsia="vi-VN"/>
        </w:rPr>
        <w:t>T</w:t>
      </w:r>
      <w:r w:rsidR="00FD427A" w:rsidRPr="005D3146">
        <w:rPr>
          <w:rFonts w:asciiTheme="majorHAnsi" w:eastAsia="Times New Roman" w:hAnsiTheme="majorHAnsi" w:cstheme="majorHAnsi"/>
          <w:sz w:val="28"/>
          <w:szCs w:val="28"/>
          <w:lang w:eastAsia="vi-VN"/>
        </w:rPr>
        <w:t xml:space="preserve">rên cơ sở </w:t>
      </w:r>
      <w:r w:rsidRPr="008B5F39">
        <w:rPr>
          <w:rFonts w:asciiTheme="majorHAnsi" w:eastAsia="Times New Roman" w:hAnsiTheme="majorHAnsi" w:cstheme="majorHAnsi"/>
          <w:sz w:val="28"/>
          <w:szCs w:val="28"/>
          <w:lang w:eastAsia="vi-VN"/>
        </w:rPr>
        <w:t xml:space="preserve">đánh giá </w:t>
      </w:r>
      <w:r w:rsidR="00FD427A" w:rsidRPr="005D3146">
        <w:rPr>
          <w:rFonts w:asciiTheme="majorHAnsi" w:eastAsia="Times New Roman" w:hAnsiTheme="majorHAnsi" w:cstheme="majorHAnsi"/>
          <w:sz w:val="28"/>
          <w:szCs w:val="28"/>
          <w:lang w:eastAsia="vi-VN"/>
        </w:rPr>
        <w:t xml:space="preserve">mức độ hoàn thành nhiệm vụ được giao </w:t>
      </w:r>
      <w:r w:rsidRPr="008B5F39">
        <w:rPr>
          <w:rFonts w:asciiTheme="majorHAnsi" w:eastAsia="Times New Roman" w:hAnsiTheme="majorHAnsi" w:cstheme="majorHAnsi"/>
          <w:sz w:val="28"/>
          <w:szCs w:val="28"/>
          <w:lang w:eastAsia="vi-VN"/>
        </w:rPr>
        <w:t>của Trưởng ban kiểm soát và Kiểm soát viên, cơ</w:t>
      </w:r>
      <w:r w:rsidR="00FD427A" w:rsidRPr="005D3146">
        <w:rPr>
          <w:rFonts w:asciiTheme="majorHAnsi" w:eastAsia="Times New Roman" w:hAnsiTheme="majorHAnsi" w:cstheme="majorHAnsi"/>
          <w:sz w:val="28"/>
          <w:szCs w:val="28"/>
          <w:lang w:eastAsia="vi-VN"/>
        </w:rPr>
        <w:t xml:space="preserve"> quan đại diện chủ sở hữu, Bộ Tài chính (đối với Kiểm soát viên tài chính tại các tập đoàn kinh tế nhà nước) </w:t>
      </w:r>
      <w:r w:rsidRPr="008B5F39">
        <w:rPr>
          <w:rFonts w:asciiTheme="majorHAnsi" w:eastAsia="Times New Roman" w:hAnsiTheme="majorHAnsi" w:cstheme="majorHAnsi"/>
          <w:sz w:val="28"/>
          <w:szCs w:val="28"/>
          <w:lang w:eastAsia="vi-VN"/>
        </w:rPr>
        <w:t>thực hiện chi trả phần tiền lương, thù lao còn lại cho Trưởng ban kiểm soát và Kiểm soát viên như sau:</w:t>
      </w:r>
    </w:p>
    <w:p w:rsidR="00FD427A" w:rsidRPr="005D3146" w:rsidRDefault="00FD427A"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a) Trưởng ban kiểm soát và Kiểm soát viên được đánh giá từ mức hoàn thành nhiệm vụ trở lên sẽ được chi trả phần tiền lương, thù lao còn lại.</w:t>
      </w:r>
    </w:p>
    <w:p w:rsidR="00FD427A" w:rsidRPr="005D3146" w:rsidRDefault="00FD427A"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lastRenderedPageBreak/>
        <w:t>b) Trưởng ban kiểm soát và Kiểm soát viên bị đánh giá không hoàn thành nhiệm vụ sẽ không được chi trả phần tiền lương, thù lao còn lại.</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b/>
          <w:bCs/>
          <w:sz w:val="28"/>
          <w:szCs w:val="28"/>
          <w:lang w:eastAsia="vi-VN"/>
        </w:rPr>
      </w:pPr>
      <w:r w:rsidRPr="005D3146">
        <w:rPr>
          <w:rFonts w:asciiTheme="majorHAnsi" w:eastAsia="Times New Roman" w:hAnsiTheme="majorHAnsi" w:cstheme="majorHAnsi"/>
          <w:b/>
          <w:sz w:val="28"/>
          <w:szCs w:val="28"/>
          <w:lang w:eastAsia="vi-VN"/>
        </w:rPr>
        <w:t xml:space="preserve">Điều 5. </w:t>
      </w:r>
      <w:r w:rsidRPr="005D3146">
        <w:rPr>
          <w:rFonts w:asciiTheme="majorHAnsi" w:eastAsia="Times New Roman" w:hAnsiTheme="majorHAnsi" w:cstheme="majorHAnsi"/>
          <w:b/>
          <w:bCs/>
          <w:sz w:val="28"/>
          <w:szCs w:val="28"/>
          <w:lang w:eastAsia="vi-VN"/>
        </w:rPr>
        <w:t>Trích lập quỹ tiền thưởng của Trưởng ban kiểm soát và Kiểm soát viên</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b/>
          <w:bCs/>
          <w:sz w:val="28"/>
          <w:szCs w:val="28"/>
          <w:lang w:eastAsia="vi-VN"/>
        </w:rPr>
        <w:t xml:space="preserve"> </w:t>
      </w:r>
      <w:r w:rsidRPr="005D3146">
        <w:rPr>
          <w:rFonts w:asciiTheme="majorHAnsi" w:eastAsia="Times New Roman" w:hAnsiTheme="majorHAnsi" w:cstheme="majorHAnsi"/>
          <w:sz w:val="28"/>
          <w:szCs w:val="28"/>
          <w:lang w:eastAsia="vi-VN"/>
        </w:rPr>
        <w:t xml:space="preserve">1. Tiền thưởng của Trưởng ban kiểm soát và Kiểm soát viên bao gồm tiền thưởng hàng năm và thưởng khi kết thúc nhiệm kỳ. </w:t>
      </w:r>
      <w:r w:rsidR="00E5527B" w:rsidRPr="005D3146">
        <w:rPr>
          <w:rFonts w:asciiTheme="majorHAnsi" w:eastAsia="Times New Roman" w:hAnsiTheme="majorHAnsi" w:cstheme="majorHAnsi"/>
          <w:sz w:val="28"/>
          <w:szCs w:val="28"/>
          <w:lang w:eastAsia="vi-VN"/>
        </w:rPr>
        <w:t>Thời gian thực hiện trích lập và m</w:t>
      </w:r>
      <w:r w:rsidRPr="005D3146">
        <w:rPr>
          <w:rFonts w:asciiTheme="majorHAnsi" w:eastAsia="Times New Roman" w:hAnsiTheme="majorHAnsi" w:cstheme="majorHAnsi"/>
          <w:sz w:val="28"/>
          <w:szCs w:val="28"/>
          <w:lang w:eastAsia="vi-VN"/>
        </w:rPr>
        <w:t>ức trích lập quỹ tiền thưởng của Trưởng ban kiểm soát và Kiểm soát viên thực hiện theo quy định của Chính phủ về đầu tư vốn nhà nước vào doanh nghiệp và quản lý, sử dụng vốn, tài sản tại doanh nghiệp.</w:t>
      </w:r>
    </w:p>
    <w:p w:rsidR="00AB62F8" w:rsidRPr="008B5F39"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xml:space="preserve">2. </w:t>
      </w:r>
      <w:r w:rsidR="00AB62F8" w:rsidRPr="005D3146">
        <w:rPr>
          <w:rFonts w:asciiTheme="majorHAnsi" w:eastAsia="Times New Roman" w:hAnsiTheme="majorHAnsi" w:cstheme="majorHAnsi"/>
          <w:sz w:val="28"/>
          <w:szCs w:val="28"/>
          <w:lang w:eastAsia="vi-VN"/>
        </w:rPr>
        <w:t>Khi</w:t>
      </w:r>
      <w:r w:rsidR="00657D9F" w:rsidRPr="005D3146">
        <w:rPr>
          <w:rFonts w:asciiTheme="majorHAnsi" w:eastAsia="Times New Roman" w:hAnsiTheme="majorHAnsi" w:cstheme="majorHAnsi"/>
          <w:sz w:val="28"/>
          <w:szCs w:val="28"/>
          <w:lang w:eastAsia="vi-VN"/>
        </w:rPr>
        <w:t xml:space="preserve"> </w:t>
      </w:r>
      <w:r w:rsidR="00AB62F8" w:rsidRPr="005D3146">
        <w:rPr>
          <w:rFonts w:asciiTheme="majorHAnsi" w:eastAsia="Times New Roman" w:hAnsiTheme="majorHAnsi" w:cstheme="majorHAnsi"/>
          <w:sz w:val="28"/>
          <w:szCs w:val="28"/>
          <w:lang w:eastAsia="vi-VN"/>
        </w:rPr>
        <w:t xml:space="preserve">thực hiện </w:t>
      </w:r>
      <w:r w:rsidRPr="005D3146">
        <w:rPr>
          <w:rFonts w:asciiTheme="majorHAnsi" w:eastAsia="Times New Roman" w:hAnsiTheme="majorHAnsi" w:cstheme="majorHAnsi"/>
          <w:sz w:val="28"/>
          <w:szCs w:val="28"/>
          <w:lang w:eastAsia="vi-VN"/>
        </w:rPr>
        <w:t xml:space="preserve">quyết định chi thưởng </w:t>
      </w:r>
      <w:r w:rsidR="00AB62F8" w:rsidRPr="005D3146">
        <w:rPr>
          <w:rFonts w:asciiTheme="majorHAnsi" w:eastAsia="Times New Roman" w:hAnsiTheme="majorHAnsi" w:cstheme="majorHAnsi"/>
          <w:sz w:val="28"/>
          <w:szCs w:val="28"/>
          <w:lang w:eastAsia="vi-VN"/>
        </w:rPr>
        <w:t xml:space="preserve">hàng năm </w:t>
      </w:r>
      <w:r w:rsidRPr="005D3146">
        <w:rPr>
          <w:rFonts w:asciiTheme="majorHAnsi" w:eastAsia="Times New Roman" w:hAnsiTheme="majorHAnsi" w:cstheme="majorHAnsi"/>
          <w:sz w:val="28"/>
          <w:szCs w:val="28"/>
          <w:lang w:eastAsia="vi-VN"/>
        </w:rPr>
        <w:t>cho người quản lý, cán bộ công nhân viên của công t</w:t>
      </w:r>
      <w:r w:rsidR="00AB62F8" w:rsidRPr="005D3146">
        <w:rPr>
          <w:rFonts w:asciiTheme="majorHAnsi" w:eastAsia="Times New Roman" w:hAnsiTheme="majorHAnsi" w:cstheme="majorHAnsi"/>
          <w:sz w:val="28"/>
          <w:szCs w:val="28"/>
          <w:lang w:eastAsia="vi-VN"/>
        </w:rPr>
        <w:t>y,</w:t>
      </w:r>
      <w:r w:rsidRPr="005D3146">
        <w:rPr>
          <w:rFonts w:asciiTheme="majorHAnsi" w:eastAsia="Times New Roman" w:hAnsiTheme="majorHAnsi" w:cstheme="majorHAnsi"/>
          <w:sz w:val="28"/>
          <w:szCs w:val="28"/>
          <w:lang w:eastAsia="vi-VN"/>
        </w:rPr>
        <w:t xml:space="preserve"> </w:t>
      </w:r>
      <w:r w:rsidR="004650C5" w:rsidRPr="005D3146">
        <w:rPr>
          <w:rFonts w:asciiTheme="majorHAnsi" w:eastAsia="Times New Roman" w:hAnsiTheme="majorHAnsi" w:cstheme="majorHAnsi"/>
          <w:sz w:val="28"/>
          <w:szCs w:val="28"/>
          <w:lang w:eastAsia="vi-VN"/>
        </w:rPr>
        <w:t>c</w:t>
      </w:r>
      <w:r w:rsidRPr="005D3146">
        <w:rPr>
          <w:rFonts w:asciiTheme="majorHAnsi" w:eastAsia="Times New Roman" w:hAnsiTheme="majorHAnsi" w:cstheme="majorHAnsi"/>
          <w:sz w:val="28"/>
          <w:szCs w:val="28"/>
          <w:lang w:eastAsia="vi-VN"/>
        </w:rPr>
        <w:t xml:space="preserve">ông ty TNHH MTV thực hiện chuyển 90% tiền thưởng năm </w:t>
      </w:r>
      <w:r w:rsidR="004650C5" w:rsidRPr="005D3146">
        <w:rPr>
          <w:rFonts w:asciiTheme="majorHAnsi" w:eastAsia="Times New Roman" w:hAnsiTheme="majorHAnsi" w:cstheme="majorHAnsi"/>
          <w:sz w:val="28"/>
          <w:szCs w:val="28"/>
          <w:lang w:eastAsia="vi-VN"/>
        </w:rPr>
        <w:t>của</w:t>
      </w:r>
      <w:r w:rsidRPr="005D3146">
        <w:rPr>
          <w:rFonts w:asciiTheme="majorHAnsi" w:eastAsia="Times New Roman" w:hAnsiTheme="majorHAnsi" w:cstheme="majorHAnsi"/>
          <w:sz w:val="28"/>
          <w:szCs w:val="28"/>
          <w:lang w:eastAsia="vi-VN"/>
        </w:rPr>
        <w:t xml:space="preserve"> Trưởng ban kiểm soát và Kiểm soát viên về quỹ tiền lương, thù lao, tiền thưởng của Trưởng ban kiểm soát và Kiểm soát viên tại </w:t>
      </w:r>
      <w:r w:rsidR="00D4439F" w:rsidRPr="005D3146">
        <w:rPr>
          <w:rFonts w:asciiTheme="majorHAnsi" w:eastAsia="Times New Roman" w:hAnsiTheme="majorHAnsi" w:cstheme="majorHAnsi"/>
          <w:sz w:val="28"/>
          <w:szCs w:val="28"/>
          <w:lang w:eastAsia="vi-VN"/>
        </w:rPr>
        <w:t xml:space="preserve">cơ quan đại diện chủ sở hữu, </w:t>
      </w:r>
      <w:r w:rsidRPr="005D3146">
        <w:rPr>
          <w:rFonts w:asciiTheme="majorHAnsi" w:eastAsia="Times New Roman" w:hAnsiTheme="majorHAnsi" w:cstheme="majorHAnsi"/>
          <w:sz w:val="28"/>
          <w:szCs w:val="28"/>
          <w:lang w:eastAsia="vi-VN"/>
        </w:rPr>
        <w:t xml:space="preserve">Bộ Tài chính (đối với Kiểm soát viên tài chính tại các tập đoàn kinh tế nhà nước). </w:t>
      </w:r>
    </w:p>
    <w:p w:rsidR="00C1071B" w:rsidRPr="008B5F39" w:rsidRDefault="008C45D5"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8B5F39">
        <w:rPr>
          <w:rFonts w:asciiTheme="majorHAnsi" w:eastAsia="Times New Roman" w:hAnsiTheme="majorHAnsi" w:cstheme="majorHAnsi"/>
          <w:sz w:val="28"/>
          <w:szCs w:val="28"/>
          <w:lang w:eastAsia="vi-VN"/>
        </w:rPr>
        <w:t xml:space="preserve">Tối đa 15 ngày </w:t>
      </w:r>
      <w:r w:rsidR="00E221B2" w:rsidRPr="008B5F39">
        <w:rPr>
          <w:rFonts w:asciiTheme="majorHAnsi" w:eastAsia="Times New Roman" w:hAnsiTheme="majorHAnsi" w:cstheme="majorHAnsi"/>
          <w:sz w:val="28"/>
          <w:szCs w:val="28"/>
          <w:lang w:eastAsia="vi-VN"/>
        </w:rPr>
        <w:t xml:space="preserve">kể </w:t>
      </w:r>
      <w:r w:rsidRPr="008B5F39">
        <w:rPr>
          <w:rFonts w:asciiTheme="majorHAnsi" w:eastAsia="Times New Roman" w:hAnsiTheme="majorHAnsi" w:cstheme="majorHAnsi"/>
          <w:sz w:val="28"/>
          <w:szCs w:val="28"/>
          <w:lang w:eastAsia="vi-VN"/>
        </w:rPr>
        <w:t xml:space="preserve">từ ngày Công ty TNHH MTV chuyển tiền thưởng năm của Trưởng ban kiểm soát và Kiểm soát viên, cơ quan đại diện chủ sở hữu, Bộ Tài chính </w:t>
      </w:r>
      <w:r w:rsidRPr="005D3146">
        <w:rPr>
          <w:rFonts w:asciiTheme="majorHAnsi" w:eastAsia="Times New Roman" w:hAnsiTheme="majorHAnsi" w:cstheme="majorHAnsi"/>
          <w:sz w:val="28"/>
          <w:szCs w:val="28"/>
          <w:lang w:eastAsia="vi-VN"/>
        </w:rPr>
        <w:t>(đối với Kiểm soát viên tài chính tại các tập đoàn kinh tế nhà nước)</w:t>
      </w:r>
      <w:r w:rsidR="00E221B2" w:rsidRPr="008B5F39">
        <w:rPr>
          <w:rFonts w:asciiTheme="majorHAnsi" w:eastAsia="Times New Roman" w:hAnsiTheme="majorHAnsi" w:cstheme="majorHAnsi"/>
          <w:sz w:val="28"/>
          <w:szCs w:val="28"/>
          <w:lang w:eastAsia="vi-VN"/>
        </w:rPr>
        <w:t xml:space="preserve"> thực hiện chi trả tiền thưởng năm cho Trưởng ban kiểm soát và Kiểm soát viên trên cơ sở đánh giá </w:t>
      </w:r>
      <w:r w:rsidR="00E221B2" w:rsidRPr="005D3146">
        <w:rPr>
          <w:rFonts w:asciiTheme="majorHAnsi" w:eastAsia="Times New Roman" w:hAnsiTheme="majorHAnsi" w:cstheme="majorHAnsi"/>
          <w:sz w:val="28"/>
          <w:szCs w:val="28"/>
          <w:lang w:eastAsia="vi-VN"/>
        </w:rPr>
        <w:t xml:space="preserve">mức </w:t>
      </w:r>
      <w:r w:rsidR="00E221B2">
        <w:rPr>
          <w:rFonts w:asciiTheme="majorHAnsi" w:eastAsia="Times New Roman" w:hAnsiTheme="majorHAnsi" w:cstheme="majorHAnsi"/>
          <w:sz w:val="28"/>
          <w:szCs w:val="28"/>
          <w:lang w:eastAsia="vi-VN"/>
        </w:rPr>
        <w:t>độ hoàn thành nhiệm vụ được gia</w:t>
      </w:r>
      <w:r w:rsidR="00E221B2" w:rsidRPr="008B5F39">
        <w:rPr>
          <w:rFonts w:asciiTheme="majorHAnsi" w:eastAsia="Times New Roman" w:hAnsiTheme="majorHAnsi" w:cstheme="majorHAnsi"/>
          <w:sz w:val="28"/>
          <w:szCs w:val="28"/>
          <w:lang w:eastAsia="vi-VN"/>
        </w:rPr>
        <w:t xml:space="preserve">o, </w:t>
      </w:r>
      <w:r w:rsidR="00A00944" w:rsidRPr="008B5F39">
        <w:rPr>
          <w:rFonts w:asciiTheme="majorHAnsi" w:eastAsia="Times New Roman" w:hAnsiTheme="majorHAnsi" w:cstheme="majorHAnsi"/>
          <w:sz w:val="28"/>
          <w:szCs w:val="28"/>
          <w:lang w:eastAsia="vi-VN"/>
        </w:rPr>
        <w:t xml:space="preserve">số tiền </w:t>
      </w:r>
      <w:r w:rsidR="00C1071B" w:rsidRPr="005D3146">
        <w:rPr>
          <w:rFonts w:asciiTheme="majorHAnsi" w:eastAsia="Times New Roman" w:hAnsiTheme="majorHAnsi" w:cstheme="majorHAnsi"/>
          <w:sz w:val="28"/>
          <w:szCs w:val="28"/>
          <w:lang w:eastAsia="vi-VN"/>
        </w:rPr>
        <w:t>chi tối đa là 90% tiền thưởng năm.</w:t>
      </w:r>
      <w:r w:rsidRPr="008B5F39">
        <w:rPr>
          <w:rFonts w:asciiTheme="majorHAnsi" w:eastAsia="Times New Roman" w:hAnsiTheme="majorHAnsi" w:cstheme="majorHAnsi"/>
          <w:sz w:val="28"/>
          <w:szCs w:val="28"/>
          <w:lang w:eastAsia="vi-VN"/>
        </w:rPr>
        <w:t xml:space="preserve"> </w:t>
      </w:r>
    </w:p>
    <w:p w:rsidR="00187DFB" w:rsidRPr="00C1071B" w:rsidRDefault="00C1071B"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8B5F39">
        <w:rPr>
          <w:rFonts w:asciiTheme="majorHAnsi" w:eastAsia="Times New Roman" w:hAnsiTheme="majorHAnsi" w:cstheme="majorHAnsi"/>
          <w:sz w:val="28"/>
          <w:szCs w:val="28"/>
          <w:lang w:eastAsia="vi-VN"/>
        </w:rPr>
        <w:t xml:space="preserve">3. </w:t>
      </w:r>
      <w:r w:rsidR="00B21876" w:rsidRPr="005D3146">
        <w:rPr>
          <w:rFonts w:asciiTheme="majorHAnsi" w:eastAsia="Times New Roman" w:hAnsiTheme="majorHAnsi" w:cstheme="majorHAnsi"/>
          <w:sz w:val="28"/>
          <w:szCs w:val="28"/>
          <w:lang w:eastAsia="vi-VN"/>
        </w:rPr>
        <w:t xml:space="preserve">Phần còn lại (10% quỹ tiền thưởng hàng năm) được lập thành quỹ tiền thưởng nhiệm kỳ. </w:t>
      </w:r>
      <w:r w:rsidR="00187DFB" w:rsidRPr="005D3146">
        <w:rPr>
          <w:rFonts w:asciiTheme="majorHAnsi" w:eastAsia="Times New Roman" w:hAnsiTheme="majorHAnsi" w:cstheme="majorHAnsi"/>
          <w:sz w:val="28"/>
          <w:szCs w:val="28"/>
          <w:lang w:eastAsia="vi-VN"/>
        </w:rPr>
        <w:t>Nhiệm kỳ để xác định quỹ tiền thưởng nhiệm kỳ của Trưởng ban kiểm soát và Kiểm soát viên được tính theo nhiệm kỳ của Chủ tịch hội đồng thành viên (hoặc Chủ tịch công ty). Trường hợp thời gian bổ nhiệm Trưởng ban kiểm soát và Kiểm soát viên không trùng với thời gian bổ nhiệm Chủ tịch hội đồng thành viên (hoặc Chủ tịch công ty) thì nhiệm kỳ của của Trưởng ban kiểm soát và Kiểm soát viên được tính từ thời điểm Trưởng ban kiểm soát, Kiểm soát viên được bổ nhiệm.</w:t>
      </w:r>
    </w:p>
    <w:p w:rsidR="00C1071B" w:rsidRPr="00C1071B" w:rsidRDefault="00C1071B"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Sau khi Trưởng ban kiểm soát và Kiểm soát viên kết thúc nhiệm kỳ, công ty TNHH MTV chuyển phần tiền thưởng còn lại về quỹ tiền lương, thù lao, tiền thưởng của Trưởng ban kiểm soát và Kiểm soát viên tại cơ quan đại diện chủ sở hữu, Bộ Tài chính (đối với Kiểm soát viên tài chính tại</w:t>
      </w:r>
      <w:r>
        <w:rPr>
          <w:rFonts w:asciiTheme="majorHAnsi" w:eastAsia="Times New Roman" w:hAnsiTheme="majorHAnsi" w:cstheme="majorHAnsi"/>
          <w:sz w:val="28"/>
          <w:szCs w:val="28"/>
          <w:lang w:eastAsia="vi-VN"/>
        </w:rPr>
        <w:t xml:space="preserve"> các tập đoàn kinh tế nhà nước)</w:t>
      </w:r>
      <w:r w:rsidRPr="005D3146">
        <w:rPr>
          <w:rFonts w:asciiTheme="majorHAnsi" w:eastAsia="Times New Roman" w:hAnsiTheme="majorHAnsi" w:cstheme="majorHAnsi"/>
          <w:sz w:val="28"/>
          <w:szCs w:val="28"/>
          <w:lang w:eastAsia="vi-VN"/>
        </w:rPr>
        <w:t xml:space="preserve">. </w:t>
      </w:r>
      <w:r w:rsidRPr="00C1071B">
        <w:rPr>
          <w:rFonts w:asciiTheme="majorHAnsi" w:eastAsia="Times New Roman" w:hAnsiTheme="majorHAnsi" w:cstheme="majorHAnsi"/>
          <w:sz w:val="28"/>
          <w:szCs w:val="28"/>
          <w:lang w:eastAsia="vi-VN"/>
        </w:rPr>
        <w:t>Căn cứ mức độ hoàn</w:t>
      </w:r>
      <w:r w:rsidRPr="005D3146">
        <w:rPr>
          <w:rFonts w:asciiTheme="majorHAnsi" w:eastAsia="Times New Roman" w:hAnsiTheme="majorHAnsi" w:cstheme="majorHAnsi"/>
          <w:sz w:val="28"/>
          <w:szCs w:val="28"/>
          <w:lang w:eastAsia="vi-VN"/>
        </w:rPr>
        <w:t xml:space="preserve"> thành nhiệm vụ cả nhiệm kỳ</w:t>
      </w:r>
      <w:r w:rsidRPr="00C1071B">
        <w:rPr>
          <w:rFonts w:asciiTheme="majorHAnsi" w:eastAsia="Times New Roman" w:hAnsiTheme="majorHAnsi" w:cstheme="majorHAnsi"/>
          <w:sz w:val="28"/>
          <w:szCs w:val="28"/>
          <w:lang w:eastAsia="vi-VN"/>
        </w:rPr>
        <w:t>, c</w:t>
      </w:r>
      <w:r w:rsidRPr="005D3146">
        <w:rPr>
          <w:rFonts w:asciiTheme="majorHAnsi" w:eastAsia="Times New Roman" w:hAnsiTheme="majorHAnsi" w:cstheme="majorHAnsi"/>
          <w:sz w:val="28"/>
          <w:szCs w:val="28"/>
          <w:lang w:eastAsia="vi-VN"/>
        </w:rPr>
        <w:t xml:space="preserve">ơ quan đại diện chủ sở hữu, Bộ Tài chính (đối với Kiểm soát viên tài chính tại các tập đoàn kinh tế nhà nước) chi trả </w:t>
      </w:r>
      <w:r w:rsidRPr="00C1071B">
        <w:rPr>
          <w:rFonts w:asciiTheme="majorHAnsi" w:eastAsia="Times New Roman" w:hAnsiTheme="majorHAnsi" w:cstheme="majorHAnsi"/>
          <w:sz w:val="28"/>
          <w:szCs w:val="28"/>
          <w:lang w:eastAsia="vi-VN"/>
        </w:rPr>
        <w:t>phần còn lại cho Trưởng ban kiểm soát và Kiểm soát viên theo nguyên tắc:</w:t>
      </w:r>
    </w:p>
    <w:p w:rsidR="00C1071B" w:rsidRPr="005D3146" w:rsidRDefault="00C1071B"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lastRenderedPageBreak/>
        <w:t>a) Trường hợp Trưởng ban kiểm soát và Kiểm soát viên được đánh giá hoàn thành xuất sắc hoặc hoàn thành nhiệm vụ các năm trong nhiệm kỳ thì hưởng toàn bộ số tiền tưởng còn lại.</w:t>
      </w:r>
    </w:p>
    <w:p w:rsidR="00C1071B" w:rsidRPr="005D3146" w:rsidRDefault="00C1071B"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b) Trường hợp Trưởng ban kiểm soát và Kiểm soát viên có 01 năm trong nhiệm kỳ bị đánh giá không hoàn thành nhiệm vụ thì được hưởng 50% số tiền thưởng còn lại.</w:t>
      </w:r>
    </w:p>
    <w:p w:rsidR="00C1071B" w:rsidRPr="005D3146" w:rsidRDefault="00C1071B"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c) Trường hợp Trưởng ban kiểm soát và Kiểm soát viên có 2 năm trở lên trong nhiệm kỳ bị đánh giá không hoàn thành nhiệm vụ thì không được hưởng số tiền thưởng còn lại.</w:t>
      </w:r>
    </w:p>
    <w:p w:rsidR="00C1071B" w:rsidRPr="008B5F39" w:rsidRDefault="00C1071B"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C1071B">
        <w:rPr>
          <w:rFonts w:asciiTheme="majorHAnsi" w:eastAsia="Times New Roman" w:hAnsiTheme="majorHAnsi" w:cstheme="majorHAnsi"/>
          <w:sz w:val="28"/>
          <w:szCs w:val="28"/>
          <w:lang w:eastAsia="vi-VN"/>
        </w:rPr>
        <w:t>d)</w:t>
      </w:r>
      <w:r w:rsidRPr="005D3146">
        <w:rPr>
          <w:rFonts w:asciiTheme="majorHAnsi" w:eastAsia="Times New Roman" w:hAnsiTheme="majorHAnsi" w:cstheme="majorHAnsi"/>
          <w:sz w:val="28"/>
          <w:szCs w:val="28"/>
          <w:lang w:eastAsia="vi-VN"/>
        </w:rPr>
        <w:t xml:space="preserve"> Trường hợp chưa kết thúc nhiệm kỳ nhưng Trưởng ban kiểm soát và Kiểm soát viên không tiếp tục thực hiện nhiệm vụ do được điều động làm công tác khác hoặc nghỉ hưu, nghỉ chế độ thì cơ quan đại diện chủ sở hữu, Bộ Tài chính (đối với Kiểm soát viên tài chính tại các tập đoàn kinh tế nhà nước) trên cơ sở xem xét, đánh giá mức độ hoàn thành nhiệm vụ được giao, quyết định mức chi trả cụ thể đối với phần tiền thưởng còn lại của khoảng thời gian tham gia làm Trưởng ban kiểm soát, Kiểm soát viên.</w:t>
      </w:r>
      <w:r w:rsidR="008B5F39" w:rsidRPr="008B5F39">
        <w:rPr>
          <w:rFonts w:asciiTheme="majorHAnsi" w:eastAsia="Times New Roman" w:hAnsiTheme="majorHAnsi" w:cstheme="majorHAnsi"/>
          <w:sz w:val="28"/>
          <w:szCs w:val="28"/>
          <w:lang w:eastAsia="vi-VN"/>
        </w:rPr>
        <w:t xml:space="preserve"> </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b/>
          <w:bCs/>
          <w:sz w:val="28"/>
          <w:szCs w:val="28"/>
          <w:lang w:eastAsia="vi-VN"/>
        </w:rPr>
        <w:t xml:space="preserve">Điều 6. Quản lý quỹ tiền lương, thù lao, tiền thưởng của Trưởng ban kiểm soát và Kiểm soát viên </w:t>
      </w:r>
    </w:p>
    <w:p w:rsidR="003734C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1. Quỹ tiền lương, thù lao, tiền thưởng của Trưởng ban kiểm soát và Kiểm soát viên được theo dõi tại tài khoản riêng ở kho bạc nhà nước do đơn vị có chức năng quản lý tài chính kế toán thuộc các Bộ quản lý ngành, cơ quan thuộc Chính phủ, Cục Tài chính doanh nghiệp thuộc Bộ Tài chính, Sở Tài chính thuộc Ủy ban nhân dân các tỉnh, thành phố trực thuộc trung ương làm chủ tài khoản (có tên chủ tài khoản, số tài khoản tại kho bạc nhà nước, mã số đơn vị quan hệ với ngân sách). Người đứng tên chủ tài khoản là thủ trưởng đơn vị hoặc người được ủy quyền theo quy định, đồng thời cử cán bộ phụ trách kế toán để theo dõi tài khoản quỹ.</w:t>
      </w:r>
      <w:r w:rsidR="003734C6" w:rsidRPr="005D3146">
        <w:rPr>
          <w:rFonts w:asciiTheme="majorHAnsi" w:eastAsia="Times New Roman" w:hAnsiTheme="majorHAnsi" w:cstheme="majorHAnsi"/>
          <w:sz w:val="28"/>
          <w:szCs w:val="28"/>
          <w:lang w:eastAsia="vi-VN"/>
        </w:rPr>
        <w:t xml:space="preserve"> </w:t>
      </w:r>
    </w:p>
    <w:p w:rsidR="003734C6" w:rsidRPr="005D3146" w:rsidRDefault="003734C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xml:space="preserve">Đối với Quỹ tiền lương, thù lao tiền thưởng </w:t>
      </w:r>
      <w:r w:rsidR="00AB62F8" w:rsidRPr="005D3146">
        <w:rPr>
          <w:rFonts w:asciiTheme="majorHAnsi" w:eastAsia="Times New Roman" w:hAnsiTheme="majorHAnsi" w:cstheme="majorHAnsi"/>
          <w:sz w:val="28"/>
          <w:szCs w:val="28"/>
          <w:lang w:eastAsia="vi-VN"/>
        </w:rPr>
        <w:t>của</w:t>
      </w:r>
      <w:r w:rsidRPr="005D3146">
        <w:rPr>
          <w:rFonts w:asciiTheme="majorHAnsi" w:eastAsia="Times New Roman" w:hAnsiTheme="majorHAnsi" w:cstheme="majorHAnsi"/>
          <w:sz w:val="28"/>
          <w:szCs w:val="28"/>
          <w:lang w:eastAsia="vi-VN"/>
        </w:rPr>
        <w:t xml:space="preserve"> Trưởng ban kiểm soát, Kiểm soát viên tại các công ty </w:t>
      </w:r>
      <w:r w:rsidR="00AB62F8" w:rsidRPr="005D3146">
        <w:rPr>
          <w:rFonts w:asciiTheme="majorHAnsi" w:eastAsia="Times New Roman" w:hAnsiTheme="majorHAnsi" w:cstheme="majorHAnsi"/>
          <w:sz w:val="28"/>
          <w:szCs w:val="28"/>
          <w:lang w:eastAsia="vi-VN"/>
        </w:rPr>
        <w:t xml:space="preserve">TNHH MTV </w:t>
      </w:r>
      <w:r w:rsidRPr="005D3146">
        <w:rPr>
          <w:rFonts w:asciiTheme="majorHAnsi" w:eastAsia="Times New Roman" w:hAnsiTheme="majorHAnsi" w:cstheme="majorHAnsi"/>
          <w:sz w:val="28"/>
          <w:szCs w:val="28"/>
          <w:lang w:eastAsia="vi-VN"/>
        </w:rPr>
        <w:t>thuộc Bộ Tài chính và Kiểm soát viên tài chính tại các tập đoàn kinh tế nhà nước do Cục Tài chính doanh nghiệp thuộc Bộ Tài chính làm chủ tài khoản.</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xml:space="preserve">2. Các đơn vị làm chủ tài khoản quỹ tiền lương, thù lao, tiền thưởng của Trưởng ban kiểm soát và Kiểm soát viên có trách nhiệm xây dựng quy chế quản lý, sử dụng, mở sổ sách kế toán để theo dõi các phát sinh liên quan đến tài khoản của quỹ, định kỳ hàng </w:t>
      </w:r>
      <w:r w:rsidR="0094388A" w:rsidRPr="005D3146">
        <w:rPr>
          <w:rFonts w:asciiTheme="majorHAnsi" w:eastAsia="Times New Roman" w:hAnsiTheme="majorHAnsi" w:cstheme="majorHAnsi"/>
          <w:sz w:val="28"/>
          <w:szCs w:val="28"/>
          <w:lang w:eastAsia="vi-VN"/>
        </w:rPr>
        <w:t>tháng</w:t>
      </w:r>
      <w:r w:rsidR="006F5122" w:rsidRPr="005D3146">
        <w:rPr>
          <w:rFonts w:asciiTheme="majorHAnsi" w:eastAsia="Times New Roman" w:hAnsiTheme="majorHAnsi" w:cstheme="majorHAnsi"/>
          <w:sz w:val="28"/>
          <w:szCs w:val="28"/>
          <w:lang w:eastAsia="vi-VN"/>
        </w:rPr>
        <w:t xml:space="preserve"> (năm)</w:t>
      </w:r>
      <w:r w:rsidRPr="005D3146">
        <w:rPr>
          <w:rFonts w:asciiTheme="majorHAnsi" w:eastAsia="Times New Roman" w:hAnsiTheme="majorHAnsi" w:cstheme="majorHAnsi"/>
          <w:sz w:val="28"/>
          <w:szCs w:val="28"/>
          <w:lang w:eastAsia="vi-VN"/>
        </w:rPr>
        <w:t xml:space="preserve"> có đối chiếu số phát sinh, số dư với kho bạc nhà nước.</w:t>
      </w:r>
    </w:p>
    <w:p w:rsidR="00151DA8"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lastRenderedPageBreak/>
        <w:t xml:space="preserve">3. Cuối kỳ kế toán, các đơn vị có chức năng quản lý tài chính kế toán thuộc các Bộ quản lý ngành, cơ quan thuộc Chính phủ, Cục Tài chính doanh nghiệp thuộc Bộ Tài chính, Sở Tài chính thuộc Ủy ban nhân dân các tỉnh, thành phố trực thuộc trung ương, có trách nhiệm lập báo cáo quyết toán quỹ tiền lương, thù lao, tiền thưởng của Trưởng ban kiểm soát và Kiểm soát viên theo quy định, báo cáo cơ quan đại diện </w:t>
      </w:r>
      <w:r w:rsidR="00D4439F" w:rsidRPr="005D3146">
        <w:rPr>
          <w:rFonts w:asciiTheme="majorHAnsi" w:eastAsia="Times New Roman" w:hAnsiTheme="majorHAnsi" w:cstheme="majorHAnsi"/>
          <w:sz w:val="28"/>
          <w:szCs w:val="28"/>
          <w:lang w:eastAsia="vi-VN"/>
        </w:rPr>
        <w:t xml:space="preserve">chủ sở hữu, </w:t>
      </w:r>
      <w:r w:rsidRPr="005D3146">
        <w:rPr>
          <w:rFonts w:asciiTheme="majorHAnsi" w:eastAsia="Times New Roman" w:hAnsiTheme="majorHAnsi" w:cstheme="majorHAnsi"/>
          <w:sz w:val="28"/>
          <w:szCs w:val="28"/>
          <w:lang w:eastAsia="vi-VN"/>
        </w:rPr>
        <w:t>Bộ Tài</w:t>
      </w:r>
      <w:r w:rsidR="00AB62F8" w:rsidRPr="005D3146">
        <w:rPr>
          <w:rFonts w:asciiTheme="majorHAnsi" w:eastAsia="Times New Roman" w:hAnsiTheme="majorHAnsi" w:cstheme="majorHAnsi"/>
          <w:sz w:val="28"/>
          <w:szCs w:val="28"/>
          <w:lang w:eastAsia="vi-VN"/>
        </w:rPr>
        <w:t xml:space="preserve"> chính</w:t>
      </w:r>
      <w:r w:rsidR="000D77D3" w:rsidRPr="005D3146">
        <w:rPr>
          <w:rFonts w:asciiTheme="majorHAnsi" w:eastAsia="Times New Roman" w:hAnsiTheme="majorHAnsi" w:cstheme="majorHAnsi"/>
          <w:sz w:val="28"/>
          <w:szCs w:val="28"/>
          <w:lang w:eastAsia="vi-VN"/>
        </w:rPr>
        <w:t xml:space="preserve"> (đối với Kiểm soát viên tài chính tại các tập đoàn kinh tế nhà nước)</w:t>
      </w:r>
      <w:r w:rsidRPr="005D3146">
        <w:rPr>
          <w:rFonts w:asciiTheme="majorHAnsi" w:eastAsia="Times New Roman" w:hAnsiTheme="majorHAnsi" w:cstheme="majorHAnsi"/>
          <w:sz w:val="28"/>
          <w:szCs w:val="28"/>
          <w:lang w:eastAsia="vi-VN"/>
        </w:rPr>
        <w:t xml:space="preserve"> xem xét, phê duyệt.</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b/>
          <w:sz w:val="28"/>
          <w:szCs w:val="28"/>
          <w:lang w:eastAsia="vi-VN"/>
        </w:rPr>
      </w:pPr>
      <w:r w:rsidRPr="005D3146">
        <w:rPr>
          <w:rFonts w:asciiTheme="majorHAnsi" w:eastAsia="Times New Roman" w:hAnsiTheme="majorHAnsi" w:cstheme="majorHAnsi"/>
          <w:b/>
          <w:sz w:val="28"/>
          <w:szCs w:val="28"/>
          <w:lang w:eastAsia="vi-VN"/>
        </w:rPr>
        <w:t xml:space="preserve">Điều </w:t>
      </w:r>
      <w:r w:rsidR="00C1071B" w:rsidRPr="008B5F39">
        <w:rPr>
          <w:rFonts w:asciiTheme="majorHAnsi" w:eastAsia="Times New Roman" w:hAnsiTheme="majorHAnsi" w:cstheme="majorHAnsi"/>
          <w:b/>
          <w:sz w:val="28"/>
          <w:szCs w:val="28"/>
          <w:lang w:eastAsia="vi-VN"/>
        </w:rPr>
        <w:t>7</w:t>
      </w:r>
      <w:r w:rsidRPr="005D3146">
        <w:rPr>
          <w:rFonts w:asciiTheme="majorHAnsi" w:eastAsia="Times New Roman" w:hAnsiTheme="majorHAnsi" w:cstheme="majorHAnsi"/>
          <w:b/>
          <w:sz w:val="28"/>
          <w:szCs w:val="28"/>
          <w:lang w:eastAsia="vi-VN"/>
        </w:rPr>
        <w:t>. Xử lý số dư cuối năm của quỹ tiền lương, thù lao, tiền thưởng của Trưởng ban kiểm soát và kiểm soát viên</w:t>
      </w:r>
    </w:p>
    <w:p w:rsidR="00B21876" w:rsidRPr="005D3146" w:rsidRDefault="00451BEF"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Kết thúc năm tài chính</w:t>
      </w:r>
      <w:r w:rsidR="00B21876" w:rsidRPr="005D3146">
        <w:rPr>
          <w:rFonts w:asciiTheme="majorHAnsi" w:eastAsia="Times New Roman" w:hAnsiTheme="majorHAnsi" w:cstheme="majorHAnsi"/>
          <w:sz w:val="28"/>
          <w:szCs w:val="28"/>
          <w:lang w:eastAsia="vi-VN"/>
        </w:rPr>
        <w:t xml:space="preserve">, </w:t>
      </w:r>
      <w:r w:rsidRPr="005D3146">
        <w:rPr>
          <w:rFonts w:asciiTheme="majorHAnsi" w:eastAsia="Times New Roman" w:hAnsiTheme="majorHAnsi" w:cstheme="majorHAnsi"/>
          <w:sz w:val="28"/>
          <w:szCs w:val="28"/>
          <w:lang w:eastAsia="vi-VN"/>
        </w:rPr>
        <w:t xml:space="preserve">chậm nhất 15 ngày </w:t>
      </w:r>
      <w:r w:rsidR="00B21876" w:rsidRPr="005D3146">
        <w:rPr>
          <w:rFonts w:asciiTheme="majorHAnsi" w:eastAsia="Times New Roman" w:hAnsiTheme="majorHAnsi" w:cstheme="majorHAnsi"/>
          <w:sz w:val="28"/>
          <w:szCs w:val="28"/>
          <w:lang w:eastAsia="vi-VN"/>
        </w:rPr>
        <w:t>sau khi cơ quan đại diện c</w:t>
      </w:r>
      <w:r w:rsidR="00D4439F" w:rsidRPr="005D3146">
        <w:rPr>
          <w:rFonts w:asciiTheme="majorHAnsi" w:eastAsia="Times New Roman" w:hAnsiTheme="majorHAnsi" w:cstheme="majorHAnsi"/>
          <w:sz w:val="28"/>
          <w:szCs w:val="28"/>
          <w:lang w:eastAsia="vi-VN"/>
        </w:rPr>
        <w:t>hủ sở hữu,</w:t>
      </w:r>
      <w:r w:rsidR="00B21876" w:rsidRPr="005D3146">
        <w:rPr>
          <w:rFonts w:asciiTheme="majorHAnsi" w:eastAsia="Times New Roman" w:hAnsiTheme="majorHAnsi" w:cstheme="majorHAnsi"/>
          <w:sz w:val="28"/>
          <w:szCs w:val="28"/>
          <w:lang w:eastAsia="vi-VN"/>
        </w:rPr>
        <w:t xml:space="preserve"> Bộ Tài chính </w:t>
      </w:r>
      <w:r w:rsidR="005D3146" w:rsidRPr="005D3146">
        <w:rPr>
          <w:rFonts w:asciiTheme="majorHAnsi" w:eastAsia="Times New Roman" w:hAnsiTheme="majorHAnsi" w:cstheme="majorHAnsi"/>
          <w:sz w:val="28"/>
          <w:szCs w:val="28"/>
          <w:lang w:eastAsia="vi-VN"/>
        </w:rPr>
        <w:t xml:space="preserve">(đối với Kiểm soát viên tài chính tại các tập đoàn kinh tế nhà nước) </w:t>
      </w:r>
      <w:r w:rsidR="00B21876" w:rsidRPr="005D3146">
        <w:rPr>
          <w:rFonts w:asciiTheme="majorHAnsi" w:eastAsia="Times New Roman" w:hAnsiTheme="majorHAnsi" w:cstheme="majorHAnsi"/>
          <w:sz w:val="28"/>
          <w:szCs w:val="28"/>
          <w:lang w:eastAsia="vi-VN"/>
        </w:rPr>
        <w:t>thực hiện quyết toán quỹ tiền</w:t>
      </w:r>
      <w:r w:rsidRPr="005D3146">
        <w:rPr>
          <w:rFonts w:asciiTheme="majorHAnsi" w:eastAsia="Times New Roman" w:hAnsiTheme="majorHAnsi" w:cstheme="majorHAnsi"/>
          <w:sz w:val="28"/>
          <w:szCs w:val="28"/>
          <w:lang w:eastAsia="vi-VN"/>
        </w:rPr>
        <w:t xml:space="preserve"> lương, thù lao và tiền thưởng </w:t>
      </w:r>
      <w:r w:rsidR="00B21876" w:rsidRPr="005D3146">
        <w:rPr>
          <w:rFonts w:asciiTheme="majorHAnsi" w:eastAsia="Times New Roman" w:hAnsiTheme="majorHAnsi" w:cstheme="majorHAnsi"/>
          <w:sz w:val="28"/>
          <w:szCs w:val="28"/>
          <w:lang w:eastAsia="vi-VN"/>
        </w:rPr>
        <w:t>của Trưởng ban kiểm soát và Kiểm soát viên</w:t>
      </w:r>
      <w:r w:rsidR="00152376" w:rsidRPr="00152376">
        <w:rPr>
          <w:rFonts w:asciiTheme="majorHAnsi" w:eastAsia="Times New Roman" w:hAnsiTheme="majorHAnsi" w:cstheme="majorHAnsi"/>
          <w:sz w:val="28"/>
          <w:szCs w:val="28"/>
          <w:lang w:eastAsia="vi-VN"/>
        </w:rPr>
        <w:t>, t</w:t>
      </w:r>
      <w:r w:rsidR="00B21876" w:rsidRPr="005D3146">
        <w:rPr>
          <w:rFonts w:asciiTheme="majorHAnsi" w:eastAsia="Times New Roman" w:hAnsiTheme="majorHAnsi" w:cstheme="majorHAnsi"/>
          <w:sz w:val="28"/>
          <w:szCs w:val="28"/>
          <w:lang w:eastAsia="vi-VN"/>
        </w:rPr>
        <w:t xml:space="preserve">rường hợp quỹ tiền lương, thù lao, tiền thưởng tại cơ quan đại diện chủ sở hữu và Bộ Tài chính còn số dư thì cơ quan đại </w:t>
      </w:r>
      <w:r w:rsidR="00BE173F" w:rsidRPr="005D3146">
        <w:rPr>
          <w:rFonts w:asciiTheme="majorHAnsi" w:eastAsia="Times New Roman" w:hAnsiTheme="majorHAnsi" w:cstheme="majorHAnsi"/>
          <w:sz w:val="28"/>
          <w:szCs w:val="28"/>
          <w:lang w:eastAsia="vi-VN"/>
        </w:rPr>
        <w:t>diện</w:t>
      </w:r>
      <w:r w:rsidR="00B21876" w:rsidRPr="005D3146">
        <w:rPr>
          <w:rFonts w:asciiTheme="majorHAnsi" w:eastAsia="Times New Roman" w:hAnsiTheme="majorHAnsi" w:cstheme="majorHAnsi"/>
          <w:sz w:val="28"/>
          <w:szCs w:val="28"/>
          <w:lang w:eastAsia="vi-VN"/>
        </w:rPr>
        <w:t xml:space="preserve"> chủ sở hữu và Bộ Tài chính có trách nhiệm chuyển trả số dư lại cho </w:t>
      </w:r>
      <w:r w:rsidR="008A19A4" w:rsidRPr="005D3146">
        <w:rPr>
          <w:rFonts w:asciiTheme="majorHAnsi" w:eastAsia="Times New Roman" w:hAnsiTheme="majorHAnsi" w:cstheme="majorHAnsi"/>
          <w:sz w:val="28"/>
          <w:szCs w:val="28"/>
          <w:lang w:eastAsia="vi-VN"/>
        </w:rPr>
        <w:t>công ty TNHH MTV</w:t>
      </w:r>
      <w:r w:rsidR="00B21876" w:rsidRPr="005D3146">
        <w:rPr>
          <w:rFonts w:asciiTheme="majorHAnsi" w:eastAsia="Times New Roman" w:hAnsiTheme="majorHAnsi" w:cstheme="majorHAnsi"/>
          <w:sz w:val="28"/>
          <w:szCs w:val="28"/>
          <w:lang w:eastAsia="vi-VN"/>
        </w:rPr>
        <w:t xml:space="preserve">. </w:t>
      </w:r>
      <w:r w:rsidR="008A19A4" w:rsidRPr="005D3146">
        <w:rPr>
          <w:rFonts w:asciiTheme="majorHAnsi" w:eastAsia="Times New Roman" w:hAnsiTheme="majorHAnsi" w:cstheme="majorHAnsi"/>
          <w:sz w:val="28"/>
          <w:szCs w:val="28"/>
          <w:lang w:eastAsia="vi-VN"/>
        </w:rPr>
        <w:t>Công ty TNHH MTV</w:t>
      </w:r>
      <w:r w:rsidR="00B21876" w:rsidRPr="005D3146">
        <w:rPr>
          <w:rFonts w:asciiTheme="majorHAnsi" w:eastAsia="Times New Roman" w:hAnsiTheme="majorHAnsi" w:cstheme="majorHAnsi"/>
          <w:sz w:val="28"/>
          <w:szCs w:val="28"/>
          <w:lang w:eastAsia="vi-VN"/>
        </w:rPr>
        <w:t xml:space="preserve"> hạch toán số tiền nhận lại theo quy định về kế toán hiện hành.</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b/>
          <w:sz w:val="28"/>
          <w:szCs w:val="28"/>
          <w:lang w:eastAsia="vi-VN"/>
        </w:rPr>
      </w:pPr>
      <w:r w:rsidRPr="005D3146">
        <w:rPr>
          <w:rFonts w:asciiTheme="majorHAnsi" w:eastAsia="Times New Roman" w:hAnsiTheme="majorHAnsi" w:cstheme="majorHAnsi"/>
          <w:b/>
          <w:sz w:val="28"/>
          <w:szCs w:val="28"/>
          <w:lang w:eastAsia="vi-VN"/>
        </w:rPr>
        <w:t xml:space="preserve">Điều </w:t>
      </w:r>
      <w:r w:rsidR="00C1071B" w:rsidRPr="008B5F39">
        <w:rPr>
          <w:rFonts w:asciiTheme="majorHAnsi" w:eastAsia="Times New Roman" w:hAnsiTheme="majorHAnsi" w:cstheme="majorHAnsi"/>
          <w:b/>
          <w:sz w:val="28"/>
          <w:szCs w:val="28"/>
          <w:lang w:eastAsia="vi-VN"/>
        </w:rPr>
        <w:t>8</w:t>
      </w:r>
      <w:r w:rsidRPr="005D3146">
        <w:rPr>
          <w:rFonts w:asciiTheme="majorHAnsi" w:eastAsia="Times New Roman" w:hAnsiTheme="majorHAnsi" w:cstheme="majorHAnsi"/>
          <w:b/>
          <w:sz w:val="28"/>
          <w:szCs w:val="28"/>
          <w:lang w:eastAsia="vi-VN"/>
        </w:rPr>
        <w:t>. Công khai thông tin về tiền lương, thù lao tiền thưởng của Trưởng ban kiểm soát và Kiểm soát viên</w:t>
      </w:r>
    </w:p>
    <w:p w:rsidR="00B21876" w:rsidRPr="005849BE"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xml:space="preserve"> Quý II của năm sau, cơ quan đại diện chủ sở hữu và </w:t>
      </w:r>
      <w:r w:rsidR="000731DF" w:rsidRPr="005D3146">
        <w:rPr>
          <w:rFonts w:asciiTheme="majorHAnsi" w:eastAsia="Times New Roman" w:hAnsiTheme="majorHAnsi" w:cstheme="majorHAnsi"/>
          <w:sz w:val="28"/>
          <w:szCs w:val="28"/>
          <w:lang w:eastAsia="vi-VN"/>
        </w:rPr>
        <w:t>Bộ Tài chính</w:t>
      </w:r>
      <w:r w:rsidRPr="005D3146">
        <w:rPr>
          <w:rFonts w:asciiTheme="majorHAnsi" w:eastAsia="Times New Roman" w:hAnsiTheme="majorHAnsi" w:cstheme="majorHAnsi"/>
          <w:sz w:val="28"/>
          <w:szCs w:val="28"/>
          <w:lang w:eastAsia="vi-VN"/>
        </w:rPr>
        <w:t xml:space="preserve"> công khai quỹ tiền lương, thù lao, tiền thưởng</w:t>
      </w:r>
      <w:r w:rsidR="00BD4BE6" w:rsidRPr="005D3146">
        <w:rPr>
          <w:rFonts w:asciiTheme="majorHAnsi" w:eastAsia="Times New Roman" w:hAnsiTheme="majorHAnsi" w:cstheme="majorHAnsi"/>
          <w:sz w:val="28"/>
          <w:szCs w:val="28"/>
          <w:lang w:eastAsia="vi-VN"/>
        </w:rPr>
        <w:t xml:space="preserve">, </w:t>
      </w:r>
      <w:r w:rsidRPr="005D3146">
        <w:rPr>
          <w:rFonts w:asciiTheme="majorHAnsi" w:eastAsia="Times New Roman" w:hAnsiTheme="majorHAnsi" w:cstheme="majorHAnsi"/>
          <w:sz w:val="28"/>
          <w:szCs w:val="28"/>
          <w:lang w:eastAsia="vi-VN"/>
        </w:rPr>
        <w:t>mức tiền lương, thù lao, tiền thưởng và thu nhập bình quân hàng tháng, năm (năm trước liền kề) của Trưởng ban kiểm soát, Kiểm soát viên trên trang thông tin điện tử của cơ quan đại diện chủ sở hữu</w:t>
      </w:r>
      <w:r w:rsidR="00D4439F" w:rsidRPr="005D3146">
        <w:rPr>
          <w:rFonts w:asciiTheme="majorHAnsi" w:eastAsia="Times New Roman" w:hAnsiTheme="majorHAnsi" w:cstheme="majorHAnsi"/>
          <w:sz w:val="28"/>
          <w:szCs w:val="28"/>
          <w:lang w:eastAsia="vi-VN"/>
        </w:rPr>
        <w:t>,</w:t>
      </w:r>
      <w:r w:rsidRPr="005D3146">
        <w:rPr>
          <w:rFonts w:asciiTheme="majorHAnsi" w:eastAsia="Times New Roman" w:hAnsiTheme="majorHAnsi" w:cstheme="majorHAnsi"/>
          <w:sz w:val="28"/>
          <w:szCs w:val="28"/>
          <w:lang w:eastAsia="vi-VN"/>
        </w:rPr>
        <w:t xml:space="preserve"> Bộ Tài chính và gửi về Bộ Lao động - Thương binh và Xã hội để tổng hợp theo dõi.</w:t>
      </w:r>
    </w:p>
    <w:p w:rsidR="00664EB9" w:rsidRPr="005849BE" w:rsidRDefault="00664EB9" w:rsidP="00664EB9">
      <w:pPr>
        <w:shd w:val="clear" w:color="auto" w:fill="FFFFFF"/>
        <w:spacing w:before="120" w:after="120" w:line="271" w:lineRule="auto"/>
        <w:ind w:firstLine="720"/>
        <w:jc w:val="both"/>
        <w:rPr>
          <w:rFonts w:asciiTheme="majorHAnsi" w:eastAsia="Times New Roman" w:hAnsiTheme="majorHAnsi" w:cstheme="majorHAnsi"/>
          <w:sz w:val="6"/>
          <w:szCs w:val="28"/>
          <w:lang w:eastAsia="vi-VN"/>
        </w:rPr>
      </w:pPr>
    </w:p>
    <w:p w:rsidR="00B21876" w:rsidRPr="005D3146" w:rsidRDefault="003734C6" w:rsidP="00664EB9">
      <w:pPr>
        <w:shd w:val="clear" w:color="auto" w:fill="FFFFFF"/>
        <w:spacing w:before="120" w:after="120" w:line="271" w:lineRule="auto"/>
        <w:jc w:val="center"/>
        <w:rPr>
          <w:rFonts w:asciiTheme="majorHAnsi" w:eastAsia="Times New Roman" w:hAnsiTheme="majorHAnsi" w:cstheme="majorHAnsi"/>
          <w:b/>
          <w:bCs/>
          <w:sz w:val="28"/>
          <w:szCs w:val="28"/>
          <w:lang w:eastAsia="vi-VN"/>
        </w:rPr>
      </w:pPr>
      <w:r w:rsidRPr="005D3146">
        <w:rPr>
          <w:rFonts w:asciiTheme="majorHAnsi" w:eastAsia="Times New Roman" w:hAnsiTheme="majorHAnsi" w:cstheme="majorHAnsi"/>
          <w:b/>
          <w:bCs/>
          <w:sz w:val="28"/>
          <w:szCs w:val="28"/>
          <w:lang w:eastAsia="vi-VN"/>
        </w:rPr>
        <w:t>Chương III</w:t>
      </w:r>
    </w:p>
    <w:p w:rsidR="00B21876" w:rsidRPr="00C20493" w:rsidRDefault="00B21876" w:rsidP="00664EB9">
      <w:pPr>
        <w:shd w:val="clear" w:color="auto" w:fill="FFFFFF"/>
        <w:spacing w:before="120" w:after="120" w:line="271" w:lineRule="auto"/>
        <w:jc w:val="center"/>
        <w:rPr>
          <w:rFonts w:asciiTheme="majorHAnsi" w:eastAsia="Times New Roman" w:hAnsiTheme="majorHAnsi" w:cstheme="majorHAnsi"/>
          <w:b/>
          <w:bCs/>
          <w:sz w:val="26"/>
          <w:szCs w:val="28"/>
          <w:lang w:eastAsia="vi-VN"/>
        </w:rPr>
      </w:pPr>
      <w:r w:rsidRPr="005D3146">
        <w:rPr>
          <w:rFonts w:asciiTheme="majorHAnsi" w:eastAsia="Times New Roman" w:hAnsiTheme="majorHAnsi" w:cstheme="majorHAnsi"/>
          <w:b/>
          <w:bCs/>
          <w:sz w:val="26"/>
          <w:szCs w:val="28"/>
          <w:lang w:eastAsia="vi-VN"/>
        </w:rPr>
        <w:t>TỔ CHỨC THỰC HIỆN</w:t>
      </w:r>
    </w:p>
    <w:p w:rsidR="0046080D" w:rsidRPr="00C20493" w:rsidRDefault="0046080D" w:rsidP="00664EB9">
      <w:pPr>
        <w:shd w:val="clear" w:color="auto" w:fill="FFFFFF"/>
        <w:spacing w:before="120" w:after="120" w:line="271" w:lineRule="auto"/>
        <w:jc w:val="center"/>
        <w:rPr>
          <w:rFonts w:asciiTheme="majorHAnsi" w:eastAsia="Times New Roman" w:hAnsiTheme="majorHAnsi" w:cstheme="majorHAnsi"/>
          <w:b/>
          <w:bCs/>
          <w:sz w:val="16"/>
          <w:szCs w:val="28"/>
          <w:lang w:eastAsia="vi-VN"/>
        </w:rPr>
      </w:pP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b/>
          <w:bCs/>
          <w:sz w:val="28"/>
          <w:szCs w:val="28"/>
          <w:lang w:eastAsia="vi-VN"/>
        </w:rPr>
        <w:t xml:space="preserve">Điều </w:t>
      </w:r>
      <w:r w:rsidR="00C1071B" w:rsidRPr="008B5F39">
        <w:rPr>
          <w:rFonts w:asciiTheme="majorHAnsi" w:eastAsia="Times New Roman" w:hAnsiTheme="majorHAnsi" w:cstheme="majorHAnsi"/>
          <w:b/>
          <w:bCs/>
          <w:sz w:val="28"/>
          <w:szCs w:val="28"/>
          <w:lang w:eastAsia="vi-VN"/>
        </w:rPr>
        <w:t>9</w:t>
      </w:r>
      <w:r w:rsidRPr="005D3146">
        <w:rPr>
          <w:rFonts w:asciiTheme="majorHAnsi" w:eastAsia="Times New Roman" w:hAnsiTheme="majorHAnsi" w:cstheme="majorHAnsi"/>
          <w:b/>
          <w:bCs/>
          <w:sz w:val="28"/>
          <w:szCs w:val="28"/>
          <w:lang w:eastAsia="vi-VN"/>
        </w:rPr>
        <w:t>. Hiệu lực thi hành</w:t>
      </w:r>
    </w:p>
    <w:p w:rsidR="003734C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xml:space="preserve">1. Thông tư này có hiệu lực thi hành kể từ ngày </w:t>
      </w:r>
      <w:r w:rsidR="00664EB9" w:rsidRPr="00664EB9">
        <w:rPr>
          <w:rFonts w:asciiTheme="majorHAnsi" w:eastAsia="Times New Roman" w:hAnsiTheme="majorHAnsi" w:cstheme="majorHAnsi"/>
          <w:sz w:val="28"/>
          <w:szCs w:val="28"/>
          <w:lang w:eastAsia="vi-VN"/>
        </w:rPr>
        <w:t>20</w:t>
      </w:r>
      <w:r w:rsidRPr="005D3146">
        <w:rPr>
          <w:rFonts w:asciiTheme="majorHAnsi" w:eastAsia="Times New Roman" w:hAnsiTheme="majorHAnsi" w:cstheme="majorHAnsi"/>
          <w:sz w:val="28"/>
          <w:szCs w:val="28"/>
          <w:lang w:eastAsia="vi-VN"/>
        </w:rPr>
        <w:t xml:space="preserve"> tháng </w:t>
      </w:r>
      <w:r w:rsidR="00664EB9" w:rsidRPr="00664EB9">
        <w:rPr>
          <w:rFonts w:asciiTheme="majorHAnsi" w:eastAsia="Times New Roman" w:hAnsiTheme="majorHAnsi" w:cstheme="majorHAnsi"/>
          <w:sz w:val="28"/>
          <w:szCs w:val="28"/>
          <w:lang w:eastAsia="vi-VN"/>
        </w:rPr>
        <w:t>10</w:t>
      </w:r>
      <w:r w:rsidRPr="005D3146">
        <w:rPr>
          <w:rFonts w:asciiTheme="majorHAnsi" w:eastAsia="Times New Roman" w:hAnsiTheme="majorHAnsi" w:cstheme="majorHAnsi"/>
          <w:sz w:val="28"/>
          <w:szCs w:val="28"/>
          <w:lang w:eastAsia="vi-VN"/>
        </w:rPr>
        <w:t xml:space="preserve"> năm 2017 và thay thế Thông tư số 221/2013/TT-BTC ngày 31/12/2013 của Bộ Tài chính hướng dẫn việc trích lập, quản lý quỹ tiền lương, thù lao, tiền thưởng đối với Kiểm soát viên và người đại diện vốn Nhà nước theo quy định tại Nghị định số 51/2013/NĐ-CP ngày 14/5/2013 của Chính phủ. </w:t>
      </w:r>
    </w:p>
    <w:p w:rsidR="00566A43" w:rsidRPr="00B81D08" w:rsidRDefault="007C7CF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2</w:t>
      </w:r>
      <w:r w:rsidR="003734C6" w:rsidRPr="005D3146">
        <w:rPr>
          <w:rFonts w:asciiTheme="majorHAnsi" w:eastAsia="Times New Roman" w:hAnsiTheme="majorHAnsi" w:cstheme="majorHAnsi"/>
          <w:sz w:val="28"/>
          <w:szCs w:val="28"/>
          <w:lang w:eastAsia="vi-VN"/>
        </w:rPr>
        <w:t xml:space="preserve">. </w:t>
      </w:r>
      <w:r w:rsidR="00B21876" w:rsidRPr="005D3146">
        <w:rPr>
          <w:rFonts w:asciiTheme="majorHAnsi" w:eastAsia="Times New Roman" w:hAnsiTheme="majorHAnsi" w:cstheme="majorHAnsi"/>
          <w:sz w:val="28"/>
          <w:szCs w:val="28"/>
          <w:lang w:eastAsia="vi-VN"/>
        </w:rPr>
        <w:t xml:space="preserve">Công ty TNHH MTV do Nhà nước nắm giữ 100% vốn điều lệ có cử Kiểm soát viên tại các công ty </w:t>
      </w:r>
      <w:r w:rsidR="006025CF" w:rsidRPr="005D3146">
        <w:rPr>
          <w:rFonts w:asciiTheme="majorHAnsi" w:eastAsia="Times New Roman" w:hAnsiTheme="majorHAnsi" w:cstheme="majorHAnsi"/>
          <w:sz w:val="28"/>
          <w:szCs w:val="28"/>
          <w:lang w:eastAsia="vi-VN"/>
        </w:rPr>
        <w:t xml:space="preserve">TNHH MTV do công ty nắm giữ 100% vốn điều </w:t>
      </w:r>
      <w:r w:rsidR="006025CF" w:rsidRPr="005D3146">
        <w:rPr>
          <w:rFonts w:asciiTheme="majorHAnsi" w:eastAsia="Times New Roman" w:hAnsiTheme="majorHAnsi" w:cstheme="majorHAnsi"/>
          <w:sz w:val="28"/>
          <w:szCs w:val="28"/>
          <w:lang w:eastAsia="vi-VN"/>
        </w:rPr>
        <w:lastRenderedPageBreak/>
        <w:t>lệ</w:t>
      </w:r>
      <w:r w:rsidR="00B21876" w:rsidRPr="005D3146">
        <w:rPr>
          <w:rFonts w:asciiTheme="majorHAnsi" w:eastAsia="Times New Roman" w:hAnsiTheme="majorHAnsi" w:cstheme="majorHAnsi"/>
          <w:sz w:val="28"/>
          <w:szCs w:val="28"/>
          <w:lang w:eastAsia="vi-VN"/>
        </w:rPr>
        <w:t xml:space="preserve"> thì </w:t>
      </w:r>
      <w:r w:rsidR="00D24ED3" w:rsidRPr="005D3146">
        <w:rPr>
          <w:rFonts w:asciiTheme="majorHAnsi" w:eastAsia="Times New Roman" w:hAnsiTheme="majorHAnsi" w:cstheme="majorHAnsi"/>
          <w:sz w:val="28"/>
          <w:szCs w:val="28"/>
          <w:lang w:eastAsia="vi-VN"/>
        </w:rPr>
        <w:t>vận dụng</w:t>
      </w:r>
      <w:r w:rsidR="00B21876" w:rsidRPr="005D3146">
        <w:rPr>
          <w:rFonts w:asciiTheme="majorHAnsi" w:eastAsia="Times New Roman" w:hAnsiTheme="majorHAnsi" w:cstheme="majorHAnsi"/>
          <w:sz w:val="28"/>
          <w:szCs w:val="28"/>
          <w:lang w:eastAsia="vi-VN"/>
        </w:rPr>
        <w:t xml:space="preserve"> quy định tại Thông tư này để xây dựng quy chế quy định việc trích nộp, quản lý tiền lương, thù lao, tiền thưởng cho Kiểm soát viên do công ty cử.</w:t>
      </w:r>
    </w:p>
    <w:p w:rsidR="00B21876" w:rsidRPr="005D3146" w:rsidRDefault="00B21876" w:rsidP="00664EB9">
      <w:pPr>
        <w:shd w:val="clear" w:color="auto" w:fill="FFFFFF"/>
        <w:spacing w:before="120" w:after="120" w:line="271" w:lineRule="auto"/>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Trong quá trình thực hiện, nếu có khó khăn vướng mắc, đề nghị các cơ quan, đơn vị phản ánh về Bộ Tài chính để xem xét, xử lý./.</w:t>
      </w:r>
    </w:p>
    <w:p w:rsidR="00B21876" w:rsidRPr="005D3146" w:rsidRDefault="00B21876" w:rsidP="008B5F39">
      <w:pPr>
        <w:shd w:val="clear" w:color="auto" w:fill="FFFFFF"/>
        <w:spacing w:before="120" w:after="120"/>
        <w:ind w:firstLine="720"/>
        <w:jc w:val="both"/>
        <w:rPr>
          <w:rFonts w:asciiTheme="majorHAnsi" w:eastAsia="Times New Roman" w:hAnsiTheme="majorHAnsi" w:cstheme="majorHAnsi"/>
          <w:sz w:val="28"/>
          <w:szCs w:val="28"/>
          <w:lang w:eastAsia="vi-VN"/>
        </w:rPr>
      </w:pPr>
      <w:r w:rsidRPr="005D3146">
        <w:rPr>
          <w:rFonts w:asciiTheme="majorHAnsi" w:eastAsia="Times New Roman" w:hAnsiTheme="majorHAnsi" w:cstheme="majorHAnsi"/>
          <w:sz w:val="28"/>
          <w:szCs w:val="28"/>
          <w:lang w:eastAsia="vi-VN"/>
        </w:rPr>
        <w:t> </w:t>
      </w:r>
    </w:p>
    <w:tbl>
      <w:tblPr>
        <w:tblW w:w="0" w:type="auto"/>
        <w:tblCellSpacing w:w="0" w:type="dxa"/>
        <w:shd w:val="clear" w:color="auto" w:fill="FFFFFF"/>
        <w:tblCellMar>
          <w:left w:w="0" w:type="dxa"/>
          <w:right w:w="0" w:type="dxa"/>
        </w:tblCellMar>
        <w:tblLook w:val="04A0"/>
      </w:tblPr>
      <w:tblGrid>
        <w:gridCol w:w="4304"/>
        <w:gridCol w:w="4983"/>
      </w:tblGrid>
      <w:tr w:rsidR="00B21876" w:rsidRPr="005D3146" w:rsidTr="00403C2C">
        <w:trPr>
          <w:tblCellSpacing w:w="0" w:type="dxa"/>
        </w:trPr>
        <w:tc>
          <w:tcPr>
            <w:tcW w:w="4361" w:type="dxa"/>
            <w:shd w:val="clear" w:color="auto" w:fill="FFFFFF"/>
            <w:tcMar>
              <w:top w:w="0" w:type="dxa"/>
              <w:left w:w="108" w:type="dxa"/>
              <w:bottom w:w="0" w:type="dxa"/>
              <w:right w:w="108" w:type="dxa"/>
            </w:tcMar>
            <w:hideMark/>
          </w:tcPr>
          <w:p w:rsidR="00BD4BE6" w:rsidRPr="005D3146" w:rsidRDefault="00B21876" w:rsidP="00BD4BE6">
            <w:pPr>
              <w:spacing w:after="0" w:line="234" w:lineRule="atLeast"/>
              <w:rPr>
                <w:rFonts w:asciiTheme="majorHAnsi" w:eastAsia="Times New Roman" w:hAnsiTheme="majorHAnsi" w:cstheme="majorHAnsi"/>
                <w:lang w:eastAsia="vi-VN"/>
              </w:rPr>
            </w:pPr>
            <w:r w:rsidRPr="005D3146">
              <w:rPr>
                <w:rFonts w:asciiTheme="majorHAnsi" w:eastAsia="Times New Roman" w:hAnsiTheme="majorHAnsi" w:cstheme="majorHAnsi"/>
                <w:b/>
                <w:bCs/>
                <w:i/>
                <w:iCs/>
                <w:lang w:eastAsia="vi-VN"/>
              </w:rPr>
              <w:t>Nơi nhận:</w:t>
            </w:r>
            <w:r w:rsidRPr="005D3146">
              <w:rPr>
                <w:rFonts w:asciiTheme="majorHAnsi" w:eastAsia="Times New Roman" w:hAnsiTheme="majorHAnsi" w:cstheme="majorHAnsi"/>
                <w:b/>
                <w:bCs/>
                <w:i/>
                <w:iCs/>
                <w:lang w:eastAsia="vi-VN"/>
              </w:rPr>
              <w:br/>
            </w:r>
            <w:r w:rsidRPr="005D3146">
              <w:rPr>
                <w:rFonts w:asciiTheme="majorHAnsi" w:eastAsia="Times New Roman" w:hAnsiTheme="majorHAnsi" w:cstheme="majorHAnsi"/>
                <w:lang w:eastAsia="vi-VN"/>
              </w:rPr>
              <w:t>- Thủ tướng Chính phủ; các Phó TT</w:t>
            </w:r>
            <w:r w:rsidR="0080340D" w:rsidRPr="0080340D">
              <w:rPr>
                <w:rFonts w:asciiTheme="majorHAnsi" w:eastAsia="Times New Roman" w:hAnsiTheme="majorHAnsi" w:cstheme="majorHAnsi"/>
                <w:lang w:eastAsia="vi-VN"/>
              </w:rPr>
              <w:t>g</w:t>
            </w:r>
            <w:r w:rsidRPr="005D3146">
              <w:rPr>
                <w:rFonts w:asciiTheme="majorHAnsi" w:eastAsia="Times New Roman" w:hAnsiTheme="majorHAnsi" w:cstheme="majorHAnsi"/>
                <w:lang w:eastAsia="vi-VN"/>
              </w:rPr>
              <w:t>CP;</w:t>
            </w:r>
            <w:r w:rsidRPr="005D3146">
              <w:rPr>
                <w:rFonts w:asciiTheme="majorHAnsi" w:eastAsia="Times New Roman" w:hAnsiTheme="majorHAnsi" w:cstheme="majorHAnsi"/>
                <w:lang w:eastAsia="vi-VN"/>
              </w:rPr>
              <w:br/>
              <w:t>- Văn phòng Trung ương và các Ban của Đảng;</w:t>
            </w:r>
            <w:r w:rsidRPr="005D3146">
              <w:rPr>
                <w:rFonts w:asciiTheme="majorHAnsi" w:eastAsia="Times New Roman" w:hAnsiTheme="majorHAnsi" w:cstheme="majorHAnsi"/>
                <w:lang w:eastAsia="vi-VN"/>
              </w:rPr>
              <w:br/>
              <w:t>- Văn phòng Tổng Bí Thư;</w:t>
            </w:r>
            <w:r w:rsidRPr="005D3146">
              <w:rPr>
                <w:rFonts w:asciiTheme="majorHAnsi" w:eastAsia="Times New Roman" w:hAnsiTheme="majorHAnsi" w:cstheme="majorHAnsi"/>
                <w:lang w:eastAsia="vi-VN"/>
              </w:rPr>
              <w:br/>
              <w:t>- Văn phòng Quốc hội;</w:t>
            </w:r>
            <w:r w:rsidRPr="005D3146">
              <w:rPr>
                <w:rFonts w:asciiTheme="majorHAnsi" w:eastAsia="Times New Roman" w:hAnsiTheme="majorHAnsi" w:cstheme="majorHAnsi"/>
                <w:lang w:eastAsia="vi-VN"/>
              </w:rPr>
              <w:br/>
              <w:t>- Văn phòng Chủ tịch nước;</w:t>
            </w:r>
            <w:r w:rsidRPr="005D3146">
              <w:rPr>
                <w:rFonts w:asciiTheme="majorHAnsi" w:eastAsia="Times New Roman" w:hAnsiTheme="majorHAnsi" w:cstheme="majorHAnsi"/>
                <w:lang w:eastAsia="vi-VN"/>
              </w:rPr>
              <w:br/>
              <w:t>- Viện Kiểm sát nhân dân tối cao;</w:t>
            </w:r>
            <w:r w:rsidRPr="005D3146">
              <w:rPr>
                <w:rFonts w:asciiTheme="majorHAnsi" w:eastAsia="Times New Roman" w:hAnsiTheme="majorHAnsi" w:cstheme="majorHAnsi"/>
                <w:lang w:eastAsia="vi-VN"/>
              </w:rPr>
              <w:br/>
              <w:t>- Tòa án nhân dân tối cao;</w:t>
            </w:r>
            <w:r w:rsidRPr="005D3146">
              <w:rPr>
                <w:rFonts w:asciiTheme="majorHAnsi" w:eastAsia="Times New Roman" w:hAnsiTheme="majorHAnsi" w:cstheme="majorHAnsi"/>
                <w:lang w:eastAsia="vi-VN"/>
              </w:rPr>
              <w:br/>
              <w:t>- Ban chỉ đạo TW về phòng chống tham nhũng;</w:t>
            </w:r>
            <w:r w:rsidRPr="005D3146">
              <w:rPr>
                <w:rFonts w:asciiTheme="majorHAnsi" w:eastAsia="Times New Roman" w:hAnsiTheme="majorHAnsi" w:cstheme="majorHAnsi"/>
                <w:lang w:eastAsia="vi-VN"/>
              </w:rPr>
              <w:br/>
              <w:t>- Các Bộ, cơ quan ngang Bộ, cơ quan thuộc Chính phủ;</w:t>
            </w:r>
            <w:r w:rsidRPr="005D3146">
              <w:rPr>
                <w:rFonts w:asciiTheme="majorHAnsi" w:eastAsia="Times New Roman" w:hAnsiTheme="majorHAnsi" w:cstheme="majorHAnsi"/>
                <w:lang w:eastAsia="vi-VN"/>
              </w:rPr>
              <w:br/>
              <w:t>- Cơ quan Trung ương của các đoàn thể;</w:t>
            </w:r>
            <w:r w:rsidRPr="005D3146">
              <w:rPr>
                <w:rFonts w:asciiTheme="majorHAnsi" w:eastAsia="Times New Roman" w:hAnsiTheme="majorHAnsi" w:cstheme="majorHAnsi"/>
                <w:lang w:eastAsia="vi-VN"/>
              </w:rPr>
              <w:br/>
              <w:t>- Kiểm toán nhà nước;</w:t>
            </w:r>
            <w:r w:rsidRPr="005D3146">
              <w:rPr>
                <w:rFonts w:asciiTheme="majorHAnsi" w:eastAsia="Times New Roman" w:hAnsiTheme="majorHAnsi" w:cstheme="majorHAnsi"/>
                <w:lang w:eastAsia="vi-VN"/>
              </w:rPr>
              <w:br/>
              <w:t>- Công báo;</w:t>
            </w:r>
            <w:r w:rsidRPr="005D3146">
              <w:rPr>
                <w:rFonts w:asciiTheme="majorHAnsi" w:eastAsia="Times New Roman" w:hAnsiTheme="majorHAnsi" w:cstheme="majorHAnsi"/>
                <w:lang w:eastAsia="vi-VN"/>
              </w:rPr>
              <w:br/>
              <w:t>- Website Chính phủ; Website Bộ Tài chính;</w:t>
            </w:r>
            <w:r w:rsidRPr="005D3146">
              <w:rPr>
                <w:rFonts w:asciiTheme="majorHAnsi" w:eastAsia="Times New Roman" w:hAnsiTheme="majorHAnsi" w:cstheme="majorHAnsi"/>
                <w:lang w:eastAsia="vi-VN"/>
              </w:rPr>
              <w:br/>
              <w:t>- Ủy ban nhân dân, Sở Tài chính các tỉnh, thành phố trực thuộc Trung ương;</w:t>
            </w:r>
            <w:r w:rsidRPr="005D3146">
              <w:rPr>
                <w:rFonts w:asciiTheme="majorHAnsi" w:eastAsia="Times New Roman" w:hAnsiTheme="majorHAnsi" w:cstheme="majorHAnsi"/>
                <w:lang w:eastAsia="vi-VN"/>
              </w:rPr>
              <w:br/>
              <w:t>- Cục Kiểm tra văn bản (Bộ Tư pháp);</w:t>
            </w:r>
            <w:r w:rsidRPr="005D3146">
              <w:rPr>
                <w:rFonts w:asciiTheme="majorHAnsi" w:eastAsia="Times New Roman" w:hAnsiTheme="majorHAnsi" w:cstheme="majorHAnsi"/>
                <w:lang w:eastAsia="vi-VN"/>
              </w:rPr>
              <w:br/>
              <w:t>- Các đơn vị thuộc Bộ Tài chính;</w:t>
            </w:r>
          </w:p>
          <w:p w:rsidR="00B21876" w:rsidRPr="005D3146" w:rsidRDefault="00BD4BE6" w:rsidP="00BD4BE6">
            <w:pPr>
              <w:spacing w:after="0" w:line="234" w:lineRule="atLeast"/>
              <w:rPr>
                <w:rFonts w:asciiTheme="majorHAnsi" w:eastAsia="Times New Roman" w:hAnsiTheme="majorHAnsi" w:cstheme="majorHAnsi"/>
                <w:lang w:eastAsia="vi-VN"/>
              </w:rPr>
            </w:pPr>
            <w:r w:rsidRPr="005D3146">
              <w:rPr>
                <w:rFonts w:asciiTheme="majorHAnsi" w:eastAsia="Times New Roman" w:hAnsiTheme="majorHAnsi" w:cstheme="majorHAnsi"/>
                <w:lang w:eastAsia="vi-VN"/>
              </w:rPr>
              <w:t>- Các Tập đoàn kinh tế, Tổng công ty nhà nước;</w:t>
            </w:r>
            <w:r w:rsidR="00B21876" w:rsidRPr="005D3146">
              <w:rPr>
                <w:rFonts w:asciiTheme="majorHAnsi" w:eastAsia="Times New Roman" w:hAnsiTheme="majorHAnsi" w:cstheme="majorHAnsi"/>
                <w:lang w:eastAsia="vi-VN"/>
              </w:rPr>
              <w:br/>
              <w:t>- Lưu: VT, TCDN (</w:t>
            </w:r>
            <w:r w:rsidRPr="005D3146">
              <w:rPr>
                <w:rFonts w:asciiTheme="majorHAnsi" w:eastAsia="Times New Roman" w:hAnsiTheme="majorHAnsi" w:cstheme="majorHAnsi"/>
                <w:lang w:eastAsia="vi-VN"/>
              </w:rPr>
              <w:t>3</w:t>
            </w:r>
            <w:r w:rsidR="00B21876" w:rsidRPr="005D3146">
              <w:rPr>
                <w:rFonts w:asciiTheme="majorHAnsi" w:eastAsia="Times New Roman" w:hAnsiTheme="majorHAnsi" w:cstheme="majorHAnsi"/>
                <w:lang w:eastAsia="vi-VN"/>
              </w:rPr>
              <w:t>00).</w:t>
            </w:r>
          </w:p>
        </w:tc>
        <w:tc>
          <w:tcPr>
            <w:tcW w:w="5047" w:type="dxa"/>
            <w:shd w:val="clear" w:color="auto" w:fill="FFFFFF"/>
            <w:tcMar>
              <w:top w:w="0" w:type="dxa"/>
              <w:left w:w="108" w:type="dxa"/>
              <w:bottom w:w="0" w:type="dxa"/>
              <w:right w:w="108" w:type="dxa"/>
            </w:tcMar>
            <w:hideMark/>
          </w:tcPr>
          <w:p w:rsidR="00B21876" w:rsidRPr="00C20493" w:rsidRDefault="00B21876" w:rsidP="00BD4BE6">
            <w:pPr>
              <w:spacing w:after="0" w:line="234" w:lineRule="atLeast"/>
              <w:jc w:val="center"/>
              <w:rPr>
                <w:rFonts w:asciiTheme="majorHAnsi" w:eastAsia="Times New Roman" w:hAnsiTheme="majorHAnsi" w:cstheme="majorHAnsi"/>
                <w:b/>
                <w:bCs/>
                <w:sz w:val="28"/>
                <w:szCs w:val="28"/>
                <w:lang w:eastAsia="vi-VN"/>
              </w:rPr>
            </w:pPr>
            <w:r w:rsidRPr="005D3146">
              <w:rPr>
                <w:rFonts w:asciiTheme="majorHAnsi" w:eastAsia="Times New Roman" w:hAnsiTheme="majorHAnsi" w:cstheme="majorHAnsi"/>
                <w:b/>
                <w:bCs/>
                <w:sz w:val="26"/>
                <w:szCs w:val="26"/>
                <w:lang w:eastAsia="vi-VN"/>
              </w:rPr>
              <w:t>KT. BỘ TRƯỞNG</w:t>
            </w:r>
            <w:r w:rsidRPr="005D3146">
              <w:rPr>
                <w:rFonts w:asciiTheme="majorHAnsi" w:eastAsia="Times New Roman" w:hAnsiTheme="majorHAnsi" w:cstheme="majorHAnsi"/>
                <w:b/>
                <w:bCs/>
                <w:sz w:val="26"/>
                <w:szCs w:val="26"/>
                <w:lang w:eastAsia="vi-VN"/>
              </w:rPr>
              <w:br/>
              <w:t>THỨ TRƯỞNG</w:t>
            </w:r>
            <w:r w:rsidRPr="005D3146">
              <w:rPr>
                <w:rFonts w:asciiTheme="majorHAnsi" w:eastAsia="Times New Roman" w:hAnsiTheme="majorHAnsi" w:cstheme="majorHAnsi"/>
                <w:b/>
                <w:bCs/>
                <w:sz w:val="28"/>
                <w:szCs w:val="28"/>
                <w:lang w:eastAsia="vi-VN"/>
              </w:rPr>
              <w:br/>
            </w:r>
            <w:r w:rsidRPr="005D3146">
              <w:rPr>
                <w:rFonts w:asciiTheme="majorHAnsi" w:eastAsia="Times New Roman" w:hAnsiTheme="majorHAnsi" w:cstheme="majorHAnsi"/>
                <w:b/>
                <w:bCs/>
                <w:sz w:val="28"/>
                <w:szCs w:val="28"/>
                <w:lang w:eastAsia="vi-VN"/>
              </w:rPr>
              <w:br/>
            </w:r>
            <w:r w:rsidRPr="005D3146">
              <w:rPr>
                <w:rFonts w:asciiTheme="majorHAnsi" w:eastAsia="Times New Roman" w:hAnsiTheme="majorHAnsi" w:cstheme="majorHAnsi"/>
                <w:b/>
                <w:bCs/>
                <w:sz w:val="28"/>
                <w:szCs w:val="28"/>
                <w:lang w:eastAsia="vi-VN"/>
              </w:rPr>
              <w:br/>
            </w:r>
            <w:r w:rsidR="00C20493" w:rsidRPr="00C20493">
              <w:rPr>
                <w:rFonts w:asciiTheme="majorHAnsi" w:eastAsia="Times New Roman" w:hAnsiTheme="majorHAnsi" w:cstheme="majorHAnsi"/>
                <w:b/>
                <w:bCs/>
                <w:sz w:val="28"/>
                <w:szCs w:val="28"/>
                <w:lang w:eastAsia="vi-VN"/>
              </w:rPr>
              <w:t>(đã ký)</w:t>
            </w:r>
          </w:p>
          <w:p w:rsidR="00B21876" w:rsidRPr="005D3146" w:rsidRDefault="00B21876" w:rsidP="00BD4BE6">
            <w:pPr>
              <w:spacing w:after="0" w:line="234" w:lineRule="atLeast"/>
              <w:jc w:val="center"/>
              <w:rPr>
                <w:rFonts w:asciiTheme="majorHAnsi" w:eastAsia="Times New Roman" w:hAnsiTheme="majorHAnsi" w:cstheme="majorHAnsi"/>
                <w:sz w:val="28"/>
                <w:szCs w:val="28"/>
                <w:lang w:eastAsia="vi-VN"/>
              </w:rPr>
            </w:pPr>
            <w:r w:rsidRPr="005D3146">
              <w:rPr>
                <w:rFonts w:asciiTheme="majorHAnsi" w:eastAsia="Times New Roman" w:hAnsiTheme="majorHAnsi" w:cstheme="majorHAnsi"/>
                <w:b/>
                <w:bCs/>
                <w:sz w:val="28"/>
                <w:szCs w:val="28"/>
                <w:lang w:eastAsia="vi-VN"/>
              </w:rPr>
              <w:br/>
            </w:r>
            <w:r w:rsidRPr="005D3146">
              <w:rPr>
                <w:rFonts w:asciiTheme="majorHAnsi" w:eastAsia="Times New Roman" w:hAnsiTheme="majorHAnsi" w:cstheme="majorHAnsi"/>
                <w:b/>
                <w:bCs/>
                <w:sz w:val="28"/>
                <w:szCs w:val="28"/>
                <w:lang w:eastAsia="vi-VN"/>
              </w:rPr>
              <w:br/>
              <w:t>Trần Văn Hiếu</w:t>
            </w:r>
          </w:p>
        </w:tc>
      </w:tr>
    </w:tbl>
    <w:p w:rsidR="00CB0BB2" w:rsidRPr="005D3146" w:rsidRDefault="00CB0BB2" w:rsidP="00BD4BE6">
      <w:pPr>
        <w:rPr>
          <w:lang w:val="en-US"/>
        </w:rPr>
      </w:pPr>
    </w:p>
    <w:sectPr w:rsidR="00CB0BB2" w:rsidRPr="005D3146" w:rsidSect="0052439D">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AB3" w:rsidRDefault="00505AB3" w:rsidP="00CB6611">
      <w:pPr>
        <w:spacing w:after="0" w:line="240" w:lineRule="auto"/>
      </w:pPr>
      <w:r>
        <w:separator/>
      </w:r>
    </w:p>
  </w:endnote>
  <w:endnote w:type="continuationSeparator" w:id="1">
    <w:p w:rsidR="00505AB3" w:rsidRDefault="00505AB3" w:rsidP="00CB6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45471"/>
      <w:docPartObj>
        <w:docPartGallery w:val="Page Numbers (Bottom of Page)"/>
        <w:docPartUnique/>
      </w:docPartObj>
    </w:sdtPr>
    <w:sdtContent>
      <w:p w:rsidR="00566A43" w:rsidRDefault="001B7C9A">
        <w:pPr>
          <w:pStyle w:val="Footer"/>
          <w:jc w:val="right"/>
        </w:pPr>
        <w:fldSimple w:instr=" PAGE   \* MERGEFORMAT ">
          <w:r w:rsidR="00C20493">
            <w:rPr>
              <w:noProof/>
            </w:rPr>
            <w:t>7</w:t>
          </w:r>
        </w:fldSimple>
      </w:p>
    </w:sdtContent>
  </w:sdt>
  <w:p w:rsidR="00350796" w:rsidRDefault="003507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AB3" w:rsidRDefault="00505AB3" w:rsidP="00CB6611">
      <w:pPr>
        <w:spacing w:after="0" w:line="240" w:lineRule="auto"/>
      </w:pPr>
      <w:r>
        <w:separator/>
      </w:r>
    </w:p>
  </w:footnote>
  <w:footnote w:type="continuationSeparator" w:id="1">
    <w:p w:rsidR="00505AB3" w:rsidRDefault="00505AB3" w:rsidP="00CB66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B21876"/>
    <w:rsid w:val="000077CE"/>
    <w:rsid w:val="000731DF"/>
    <w:rsid w:val="000877C5"/>
    <w:rsid w:val="000A4E4B"/>
    <w:rsid w:val="000D77D3"/>
    <w:rsid w:val="000E113D"/>
    <w:rsid w:val="00131600"/>
    <w:rsid w:val="00134A33"/>
    <w:rsid w:val="001504ED"/>
    <w:rsid w:val="00151DA8"/>
    <w:rsid w:val="00152376"/>
    <w:rsid w:val="00154F55"/>
    <w:rsid w:val="00187DFB"/>
    <w:rsid w:val="0019754F"/>
    <w:rsid w:val="001B7C9A"/>
    <w:rsid w:val="001C4294"/>
    <w:rsid w:val="001F459D"/>
    <w:rsid w:val="00330BED"/>
    <w:rsid w:val="00347212"/>
    <w:rsid w:val="00350796"/>
    <w:rsid w:val="003518E0"/>
    <w:rsid w:val="003734C6"/>
    <w:rsid w:val="003E7573"/>
    <w:rsid w:val="003F1E71"/>
    <w:rsid w:val="00412E9A"/>
    <w:rsid w:val="00451BEF"/>
    <w:rsid w:val="004551CE"/>
    <w:rsid w:val="0046080D"/>
    <w:rsid w:val="004650C5"/>
    <w:rsid w:val="00471593"/>
    <w:rsid w:val="00491BEF"/>
    <w:rsid w:val="00495756"/>
    <w:rsid w:val="004B2735"/>
    <w:rsid w:val="004C20FD"/>
    <w:rsid w:val="00505AB3"/>
    <w:rsid w:val="00566A43"/>
    <w:rsid w:val="005849BE"/>
    <w:rsid w:val="00594EF7"/>
    <w:rsid w:val="005D3146"/>
    <w:rsid w:val="006025CF"/>
    <w:rsid w:val="00607B2C"/>
    <w:rsid w:val="00632609"/>
    <w:rsid w:val="00657D9F"/>
    <w:rsid w:val="00664EB9"/>
    <w:rsid w:val="00686219"/>
    <w:rsid w:val="0069245E"/>
    <w:rsid w:val="006D281A"/>
    <w:rsid w:val="006E0E5B"/>
    <w:rsid w:val="006F5122"/>
    <w:rsid w:val="00733FD0"/>
    <w:rsid w:val="00773AEF"/>
    <w:rsid w:val="007B0B6C"/>
    <w:rsid w:val="007C5E36"/>
    <w:rsid w:val="007C7CF6"/>
    <w:rsid w:val="0080340D"/>
    <w:rsid w:val="00827E50"/>
    <w:rsid w:val="008A19A4"/>
    <w:rsid w:val="008B5F39"/>
    <w:rsid w:val="008C45D5"/>
    <w:rsid w:val="00907AD1"/>
    <w:rsid w:val="0091772B"/>
    <w:rsid w:val="00922909"/>
    <w:rsid w:val="0094388A"/>
    <w:rsid w:val="0095681E"/>
    <w:rsid w:val="00A00944"/>
    <w:rsid w:val="00A11082"/>
    <w:rsid w:val="00A20B54"/>
    <w:rsid w:val="00A46DEA"/>
    <w:rsid w:val="00AB62F8"/>
    <w:rsid w:val="00AB7122"/>
    <w:rsid w:val="00B02E14"/>
    <w:rsid w:val="00B21876"/>
    <w:rsid w:val="00B45C54"/>
    <w:rsid w:val="00B73B2F"/>
    <w:rsid w:val="00B81D08"/>
    <w:rsid w:val="00B87B42"/>
    <w:rsid w:val="00BB4865"/>
    <w:rsid w:val="00BD4BE6"/>
    <w:rsid w:val="00BE173F"/>
    <w:rsid w:val="00C031EF"/>
    <w:rsid w:val="00C0546C"/>
    <w:rsid w:val="00C1071B"/>
    <w:rsid w:val="00C20493"/>
    <w:rsid w:val="00C233BE"/>
    <w:rsid w:val="00C24940"/>
    <w:rsid w:val="00C44522"/>
    <w:rsid w:val="00C466D2"/>
    <w:rsid w:val="00C846E6"/>
    <w:rsid w:val="00CA1E6C"/>
    <w:rsid w:val="00CB0BB2"/>
    <w:rsid w:val="00CB6611"/>
    <w:rsid w:val="00CF7340"/>
    <w:rsid w:val="00D24ED3"/>
    <w:rsid w:val="00D34ED1"/>
    <w:rsid w:val="00D4439F"/>
    <w:rsid w:val="00D85A9E"/>
    <w:rsid w:val="00D9174B"/>
    <w:rsid w:val="00DB7FFD"/>
    <w:rsid w:val="00DC30FD"/>
    <w:rsid w:val="00E00E8A"/>
    <w:rsid w:val="00E221B2"/>
    <w:rsid w:val="00E5527B"/>
    <w:rsid w:val="00E940A7"/>
    <w:rsid w:val="00EF211F"/>
    <w:rsid w:val="00F35320"/>
    <w:rsid w:val="00F71C04"/>
    <w:rsid w:val="00F77565"/>
    <w:rsid w:val="00FC0CE8"/>
    <w:rsid w:val="00FC14AF"/>
    <w:rsid w:val="00FD427A"/>
    <w:rsid w:val="00FD7A99"/>
    <w:rsid w:val="00FE6FAC"/>
    <w:rsid w:val="00FF29C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8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B21876"/>
    <w:pPr>
      <w:spacing w:after="120"/>
      <w:ind w:left="283"/>
    </w:pPr>
  </w:style>
  <w:style w:type="character" w:customStyle="1" w:styleId="BodyTextIndentChar">
    <w:name w:val="Body Text Indent Char"/>
    <w:basedOn w:val="DefaultParagraphFont"/>
    <w:link w:val="BodyTextIndent"/>
    <w:rsid w:val="00B21876"/>
  </w:style>
  <w:style w:type="paragraph" w:styleId="Footer">
    <w:name w:val="footer"/>
    <w:basedOn w:val="Normal"/>
    <w:link w:val="FooterChar"/>
    <w:uiPriority w:val="99"/>
    <w:unhideWhenUsed/>
    <w:rsid w:val="00B21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876"/>
  </w:style>
  <w:style w:type="paragraph" w:styleId="Header">
    <w:name w:val="header"/>
    <w:basedOn w:val="Normal"/>
    <w:link w:val="HeaderChar"/>
    <w:uiPriority w:val="99"/>
    <w:semiHidden/>
    <w:unhideWhenUsed/>
    <w:rsid w:val="00C249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494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thuvienphapluat.vn/phap-luat/tim-van-ban.aspx?keyword=35/2013/Q%C4%90-TTg&amp;area=2&amp;type=0&amp;match=False&amp;vc=True&amp;lan=1"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8AED7-0C28-4613-9ED9-E34819AA89A2}"/>
</file>

<file path=customXml/itemProps2.xml><?xml version="1.0" encoding="utf-8"?>
<ds:datastoreItem xmlns:ds="http://schemas.openxmlformats.org/officeDocument/2006/customXml" ds:itemID="{AAFBFFC4-5829-4160-BB7D-D6737BB1BE81}"/>
</file>

<file path=customXml/itemProps3.xml><?xml version="1.0" encoding="utf-8"?>
<ds:datastoreItem xmlns:ds="http://schemas.openxmlformats.org/officeDocument/2006/customXml" ds:itemID="{D9ED5102-D7AC-4156-955A-8710F597231C}"/>
</file>

<file path=customXml/itemProps4.xml><?xml version="1.0" encoding="utf-8"?>
<ds:datastoreItem xmlns:ds="http://schemas.openxmlformats.org/officeDocument/2006/customXml" ds:itemID="{58E54A9E-9E72-4CA8-B204-85D5989CF088}"/>
</file>

<file path=docProps/app.xml><?xml version="1.0" encoding="utf-8"?>
<Properties xmlns="http://schemas.openxmlformats.org/officeDocument/2006/extended-properties" xmlns:vt="http://schemas.openxmlformats.org/officeDocument/2006/docPropsVTypes">
  <Template>Normal</Template>
  <TotalTime>1252</TotalTime>
  <Pages>1</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Phamthiyenly</dc:creator>
  <cp:lastModifiedBy>A</cp:lastModifiedBy>
  <cp:revision>37</cp:revision>
  <cp:lastPrinted>2017-09-27T10:12:00Z</cp:lastPrinted>
  <dcterms:created xsi:type="dcterms:W3CDTF">2017-05-25T07:26:00Z</dcterms:created>
  <dcterms:modified xsi:type="dcterms:W3CDTF">2017-10-24T11:53:00Z</dcterms:modified>
</cp:coreProperties>
</file>